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2080" w:after="280"/>
        <w:jc w:val="center"/>
      </w:pPr>
      <w:r>
        <w:rPr>
          <w:rFonts w:ascii="Calibri" w:hAnsi="Calibri"/>
          <w:b/>
          <w:color w:val="2E74B5"/>
          <w:sz w:val="22"/>
        </w:rPr>
        <w:t>ADVANCED TECHNICAL AND OPERATIONAL REPORT</w:t>
      </w:r>
    </w:p>
    <w:p>
      <w:pPr>
        <w:widowControl/>
        <w:spacing w:after="240"/>
        <w:jc w:val="center"/>
      </w:pPr>
      <w:r>
        <w:rPr>
          <w:rFonts w:ascii="Calibri" w:hAnsi="Calibri"/>
          <w:b/>
          <w:color w:val="17365D"/>
          <w:sz w:val="60"/>
        </w:rPr>
        <w:t>RISE WALLET</w:t>
      </w:r>
    </w:p>
    <w:p>
      <w:pPr>
        <w:widowControl/>
        <w:spacing w:after="560"/>
        <w:jc w:val="center"/>
      </w:pPr>
      <w:r>
        <w:rPr>
          <w:rFonts w:ascii="Calibri" w:hAnsi="Calibri"/>
          <w:color w:val="1F4D78"/>
          <w:sz w:val="26"/>
        </w:rPr>
        <w:t>Aptos architecture, supported cryptocurrencies and digital assets, transactions, dApps, swaps, staking, security, privacy, compatibility, and operational guidance</w:t>
      </w:r>
    </w:p>
    <w:tbl>
      <w:tblPr>
        <w:tblW w:type="dxa" w:w="9360"/>
        <w:jc w:val="left"/>
        <w:tblLayout w:type="fixed"/>
        <w:tblLook w:firstColumn="1" w:firstRow="1" w:lastColumn="0" w:lastRow="0" w:noHBand="0" w:noVBand="1" w:val="04A0"/>
        <w:tblInd w:w="120" w:type="dxa"/>
        <w:tblBorders>
          <w:top w:val="single" w:sz="4" w:space="0" w:color="D9E2EC"/>
          <w:left w:val="single" w:sz="4" w:space="0" w:color="D9E2EC"/>
          <w:bottom w:val="single" w:sz="4" w:space="0" w:color="D9E2EC"/>
          <w:right w:val="single" w:sz="4" w:space="0" w:color="D9E2EC"/>
          <w:insideH w:val="single" w:sz="4" w:space="0" w:color="D9E2EC"/>
          <w:insideV w:val="single" w:sz="4" w:space="0" w:color="D9E2EC"/>
        </w:tblBorders>
      </w:tblPr>
      <w:tblGrid>
        <w:gridCol w:w="2200"/>
        <w:gridCol w:w="7160"/>
      </w:tblGrid>
      <w:tr>
        <w:tc>
          <w:tcPr>
            <w:tcW w:type="dxa" w:w="2200"/>
            <w:tcMar>
              <w:top w:w="80" w:type="dxa"/>
              <w:start w:w="120" w:type="dxa"/>
              <w:bottom w:w="80" w:type="dxa"/>
              <w:end w:w="120" w:type="dxa"/>
            </w:tcMar>
            <w:vAlign w:val="center"/>
            <w:shd w:fill="E8EEF5"/>
          </w:tcPr>
          <w:p>
            <w:r>
              <w:rPr>
                <w:rFonts w:ascii="Calibri" w:hAnsi="Calibri"/>
                <w:b/>
                <w:color w:val="17365D"/>
                <w:sz w:val="20"/>
              </w:rPr>
              <w:t>Product</w:t>
            </w:r>
          </w:p>
        </w:tc>
        <w:tc>
          <w:tcPr>
            <w:tcW w:type="dxa" w:w="7160"/>
            <w:tcMar>
              <w:top w:w="80" w:type="dxa"/>
              <w:start w:w="120" w:type="dxa"/>
              <w:bottom w:w="80" w:type="dxa"/>
              <w:end w:w="120" w:type="dxa"/>
            </w:tcMar>
            <w:vAlign w:val="center"/>
          </w:tcPr>
          <w:p>
            <w:r>
              <w:rPr>
                <w:rFonts w:ascii="Calibri" w:hAnsi="Calibri"/>
                <w:color w:val="202833"/>
                <w:sz w:val="20"/>
              </w:rPr>
              <w:t>Rise - Aptos Wallet, developed by Solrise Research LTD</w:t>
            </w:r>
          </w:p>
        </w:tc>
      </w:tr>
      <w:tr>
        <w:tc>
          <w:tcPr>
            <w:tcW w:type="dxa" w:w="2200"/>
            <w:tcMar>
              <w:top w:w="80" w:type="dxa"/>
              <w:start w:w="120" w:type="dxa"/>
              <w:bottom w:w="80" w:type="dxa"/>
              <w:end w:w="120" w:type="dxa"/>
            </w:tcMar>
            <w:vAlign w:val="center"/>
            <w:shd w:fill="E8EEF5"/>
          </w:tcPr>
          <w:p>
            <w:r>
              <w:rPr>
                <w:rFonts w:ascii="Calibri" w:hAnsi="Calibri"/>
                <w:b/>
                <w:color w:val="17365D"/>
                <w:sz w:val="20"/>
              </w:rPr>
              <w:t>Scope</w:t>
            </w:r>
          </w:p>
        </w:tc>
        <w:tc>
          <w:tcPr>
            <w:tcW w:type="dxa" w:w="7160"/>
            <w:tcMar>
              <w:top w:w="80" w:type="dxa"/>
              <w:start w:w="120" w:type="dxa"/>
              <w:bottom w:w="80" w:type="dxa"/>
              <w:end w:w="120" w:type="dxa"/>
            </w:tcMar>
            <w:vAlign w:val="center"/>
          </w:tcPr>
          <w:p>
            <w:r>
              <w:rPr>
                <w:rFonts w:ascii="Calibri" w:hAnsi="Calibri"/>
                <w:color w:val="202833"/>
                <w:sz w:val="20"/>
              </w:rPr>
              <w:t>Advanced analysis of the browser-extension and mobile self-custody wallet</w:t>
            </w:r>
          </w:p>
        </w:tc>
      </w:tr>
      <w:tr>
        <w:tc>
          <w:tcPr>
            <w:tcW w:type="dxa" w:w="2200"/>
            <w:tcMar>
              <w:top w:w="80" w:type="dxa"/>
              <w:start w:w="120" w:type="dxa"/>
              <w:bottom w:w="80" w:type="dxa"/>
              <w:end w:w="120" w:type="dxa"/>
            </w:tcMar>
            <w:vAlign w:val="center"/>
            <w:shd w:fill="E8EEF5"/>
          </w:tcPr>
          <w:p>
            <w:r>
              <w:rPr>
                <w:rFonts w:ascii="Calibri" w:hAnsi="Calibri"/>
                <w:b/>
                <w:color w:val="17365D"/>
                <w:sz w:val="20"/>
              </w:rPr>
              <w:t>Analysis date</w:t>
            </w:r>
          </w:p>
        </w:tc>
        <w:tc>
          <w:tcPr>
            <w:tcW w:type="dxa" w:w="7160"/>
            <w:tcMar>
              <w:top w:w="80" w:type="dxa"/>
              <w:start w:w="120" w:type="dxa"/>
              <w:bottom w:w="80" w:type="dxa"/>
              <w:end w:w="120" w:type="dxa"/>
            </w:tcMar>
            <w:vAlign w:val="center"/>
          </w:tcPr>
          <w:p>
            <w:r>
              <w:rPr>
                <w:rFonts w:ascii="Calibri" w:hAnsi="Calibri"/>
                <w:color w:val="202833"/>
                <w:sz w:val="20"/>
              </w:rPr>
              <w:t>30 August 2026</w:t>
            </w:r>
          </w:p>
        </w:tc>
      </w:tr>
      <w:tr>
        <w:tc>
          <w:tcPr>
            <w:tcW w:type="dxa" w:w="2200"/>
            <w:tcMar>
              <w:top w:w="80" w:type="dxa"/>
              <w:start w:w="120" w:type="dxa"/>
              <w:bottom w:w="80" w:type="dxa"/>
              <w:end w:w="120" w:type="dxa"/>
            </w:tcMar>
            <w:vAlign w:val="center"/>
            <w:shd w:fill="E8EEF5"/>
          </w:tcPr>
          <w:p>
            <w:r>
              <w:rPr>
                <w:rFonts w:ascii="Calibri" w:hAnsi="Calibri"/>
                <w:b/>
                <w:color w:val="17365D"/>
                <w:sz w:val="20"/>
              </w:rPr>
              <w:t>Evidence base</w:t>
            </w:r>
          </w:p>
        </w:tc>
        <w:tc>
          <w:tcPr>
            <w:tcW w:type="dxa" w:w="7160"/>
            <w:tcMar>
              <w:top w:w="80" w:type="dxa"/>
              <w:start w:w="120" w:type="dxa"/>
              <w:bottom w:w="80" w:type="dxa"/>
              <w:end w:w="120" w:type="dxa"/>
            </w:tcMar>
            <w:vAlign w:val="center"/>
          </w:tcPr>
          <w:p>
            <w:r>
              <w:rPr>
                <w:rFonts w:ascii="Calibri" w:hAnsi="Calibri"/>
                <w:color w:val="202833"/>
                <w:sz w:val="20"/>
              </w:rPr>
              <w:t>Rise Wallet, Apple, Google, Mozilla, Aptos Foundation, Aptos Docs, Circle, Tether, and official protocol sources</w:t>
            </w:r>
          </w:p>
        </w:tc>
      </w:tr>
    </w:tbl>
    <w:p>
      <w:pPr>
        <w:widowControl/>
        <w:spacing w:after="0"/>
      </w:pPr>
    </w:p>
    <w:p>
      <w:pPr>
        <w:widowControl/>
        <w:spacing w:before="500"/>
        <w:jc w:val="center"/>
      </w:pPr>
      <w:r>
        <w:rPr>
          <w:rFonts w:ascii="Calibri" w:hAnsi="Calibri"/>
          <w:color w:val="5F6B78"/>
          <w:sz w:val="19"/>
        </w:rPr>
        <w:t>Report version: 1.0 - advanced Aptos edition</w:t>
      </w:r>
    </w:p>
    <w:p>
      <w:pPr>
        <w:widowControl/>
      </w:pPr>
      <w:r>
        <w:br w:type="page"/>
      </w:r>
    </w:p>
    <w:p>
      <w:pPr>
        <w:pStyle w:val="Heading1"/>
        <w:keepNext/>
        <w:widowControl/>
      </w:pPr>
      <w:r>
        <w:t>Executive summary</w:t>
      </w:r>
    </w:p>
    <w:tbl>
      <w:tblPr>
        <w:tblW w:type="dxa" w:w="9360"/>
        <w:jc w:val="left"/>
        <w:tblLayout w:type="fixed"/>
        <w:tblLook w:firstColumn="1" w:firstRow="1" w:lastColumn="0" w:lastRow="0" w:noHBand="0" w:noVBand="1" w:val="04A0"/>
        <w:tblInd w:w="120" w:type="dxa"/>
        <w:tblBorders>
          <w:top w:val="single" w:sz="7" w:space="0" w:color="2E74B5"/>
          <w:left w:val="single" w:sz="7" w:space="0" w:color="2E74B5"/>
          <w:bottom w:val="single" w:sz="7" w:space="0" w:color="2E74B5"/>
          <w:right w:val="single" w:sz="7" w:space="0" w:color="2E74B5"/>
          <w:insideH w:val="single" w:sz="7" w:space="0" w:color="2E74B5"/>
          <w:insideV w:val="single" w:sz="7" w:space="0" w:color="2E74B5"/>
        </w:tblBorders>
      </w:tblPr>
      <w:tblGrid>
        <w:gridCol w:w="9360"/>
      </w:tblGrid>
      <w:tr>
        <w:trPr>
          <w:cantSplit/>
        </w:trPr>
        <w:tc>
          <w:tcPr>
            <w:tcW w:type="dxa" w:w="9360"/>
            <w:tcMar>
              <w:top w:w="80" w:type="dxa"/>
              <w:start w:w="120" w:type="dxa"/>
              <w:bottom w:w="80" w:type="dxa"/>
              <w:end w:w="120" w:type="dxa"/>
            </w:tcMar>
            <w:vAlign w:val="center"/>
            <w:shd w:fill="E8EEF5"/>
          </w:tcPr>
          <w:p>
            <w:pPr>
              <w:spacing w:after="60"/>
            </w:pPr>
            <w:r>
              <w:rPr>
                <w:rFonts w:ascii="Calibri" w:hAnsi="Calibri"/>
                <w:b/>
                <w:color w:val="2E74B5"/>
              </w:rPr>
              <w:t>Bottom line</w:t>
            </w:r>
          </w:p>
          <w:p>
            <w:pPr>
              <w:spacing w:after="0" w:line="264" w:lineRule="auto"/>
            </w:pPr>
            <w:r>
              <w:rPr>
                <w:rFonts w:ascii="Calibri" w:hAnsi="Calibri"/>
                <w:color w:val="202833"/>
              </w:rPr>
              <w:t>Rise is a self-custody wallet built specifically for the Aptos blockchain. Its official materials describe browser-extension and mobile clients that can store, transfer, swap, stake, buy, and display Aptos tokens and NFTs, connect to Aptos applications, simulate transactions, show readable activity, and use Aptos Names. It is not a universal Bitcoin, Ethereum, Solana, Cardano, BNB Chain, or Polkadot wallet. The native cryptocurrency is APT; other compatible assets are Aptos-issued fungible assets, legacy coins, digital assets, and representations brought to Aptos. [1][10][11]</w:t>
            </w:r>
          </w:p>
        </w:tc>
      </w:tr>
    </w:tbl>
    <w:p>
      <w:pPr>
        <w:widowControl/>
        <w:spacing w:after="0"/>
      </w:pPr>
    </w:p>
    <w:p>
      <w:pPr>
        <w:widowControl/>
      </w:pPr>
      <w:r>
        <w:rPr>
          <w:rFonts w:ascii="Calibri" w:hAnsi="Calibri"/>
          <w:color w:val="202833"/>
        </w:rPr>
        <w:t>The most important qualification is temporal. Rise's website, public documentation, mobile applications, and Firefox extension remain available, but the public versions and documentation verified for this report were last materially updated in 2022-2023. Since then, Aptos migrated fungible assets from the legacy Coin model toward the Fungible Asset standard in 2025 and now requires the modern AIP-62 wallet standard for normal dApp integration. Rise's public integration guide still documents the older @manahippo adapter and window.rise browser interface. Therefore, historical feature claims should not be treated as proof of complete compatibility with current Aptos assets, dApps, authentication schemes, or transaction standards. [5][6][7][10][11][12][18][22][23]</w:t>
      </w:r>
    </w:p>
    <w:p>
      <w:pPr>
        <w:widowControl/>
        <w:numPr>
          <w:ilvl w:val="0"/>
          <w:numId w:val="10"/>
        </w:numPr>
      </w:pPr>
      <w:r>
        <w:rPr>
          <w:rFonts w:ascii="Calibri" w:hAnsi="Calibri"/>
          <w:b/>
          <w:color w:val="202833"/>
        </w:rPr>
        <w:t xml:space="preserve">Product category. </w:t>
      </w:r>
      <w:r>
        <w:rPr>
          <w:rFonts w:ascii="Calibri" w:hAnsi="Calibri"/>
          <w:color w:val="202833"/>
        </w:rPr>
        <w:t>Non-custodial Aptos software wallet with mobile and browser-extension form factors.</w:t>
      </w:r>
    </w:p>
    <w:p>
      <w:pPr>
        <w:widowControl/>
        <w:numPr>
          <w:ilvl w:val="0"/>
          <w:numId w:val="10"/>
        </w:numPr>
      </w:pPr>
      <w:r>
        <w:rPr>
          <w:rFonts w:ascii="Calibri" w:hAnsi="Calibri"/>
          <w:b/>
          <w:color w:val="202833"/>
        </w:rPr>
        <w:t xml:space="preserve">Developer. </w:t>
      </w:r>
      <w:r>
        <w:rPr>
          <w:rFonts w:ascii="Calibri" w:hAnsi="Calibri"/>
          <w:color w:val="202833"/>
        </w:rPr>
        <w:t>The public app stores identify Solrise Research LTD; the Firefox listing associates the extension with Solflare. [10][11][12]</w:t>
      </w:r>
    </w:p>
    <w:p>
      <w:pPr>
        <w:widowControl/>
        <w:numPr>
          <w:ilvl w:val="0"/>
          <w:numId w:val="10"/>
        </w:numPr>
      </w:pPr>
      <w:r>
        <w:rPr>
          <w:rFonts w:ascii="Calibri" w:hAnsi="Calibri"/>
          <w:b/>
          <w:color w:val="202833"/>
        </w:rPr>
        <w:t xml:space="preserve">Native cryptocurrency. </w:t>
      </w:r>
      <w:r>
        <w:rPr>
          <w:rFonts w:ascii="Calibri" w:hAnsi="Calibri"/>
          <w:color w:val="202833"/>
        </w:rPr>
        <w:t>APT, the native Aptos asset and ordinary gas token. One APT contains 100,000,000 octas. [16]</w:t>
      </w:r>
    </w:p>
    <w:p>
      <w:pPr>
        <w:widowControl/>
        <w:numPr>
          <w:ilvl w:val="0"/>
          <w:numId w:val="10"/>
        </w:numPr>
      </w:pPr>
      <w:r>
        <w:rPr>
          <w:rFonts w:ascii="Calibri" w:hAnsi="Calibri"/>
          <w:b/>
          <w:color w:val="202833"/>
        </w:rPr>
        <w:t xml:space="preserve">General asset rule. </w:t>
      </w:r>
      <w:r>
        <w:rPr>
          <w:rFonts w:ascii="Calibri" w:hAnsi="Calibri"/>
          <w:color w:val="202833"/>
        </w:rPr>
        <w:t>Rise states that it supports tokens conforming to the Aptos token standard, but current FA, dispatchable-FA, Digital Asset, and dApp compatibility must be tested in the installed version. [1][18][20]</w:t>
      </w:r>
    </w:p>
    <w:p>
      <w:pPr>
        <w:widowControl/>
        <w:numPr>
          <w:ilvl w:val="0"/>
          <w:numId w:val="10"/>
        </w:numPr>
      </w:pPr>
      <w:r>
        <w:rPr>
          <w:rFonts w:ascii="Calibri" w:hAnsi="Calibri"/>
          <w:b/>
          <w:color w:val="202833"/>
        </w:rPr>
        <w:t xml:space="preserve">Explicit stablecoins. </w:t>
      </w:r>
      <w:r>
        <w:rPr>
          <w:rFonts w:ascii="Calibri" w:hAnsi="Calibri"/>
          <w:color w:val="202833"/>
        </w:rPr>
        <w:t>Native USDC and native USDt exist on Aptos today, with issuer-published identifiers. Their existence on Aptos does not prove that an older Rise build discovers, prices, or transfers them correctly. [25][26][27]</w:t>
      </w:r>
    </w:p>
    <w:p>
      <w:pPr>
        <w:widowControl/>
        <w:numPr>
          <w:ilvl w:val="0"/>
          <w:numId w:val="10"/>
        </w:numPr>
      </w:pPr>
      <w:r>
        <w:rPr>
          <w:rFonts w:ascii="Calibri" w:hAnsi="Calibri"/>
          <w:b/>
          <w:color w:val="202833"/>
        </w:rPr>
        <w:t xml:space="preserve">NFTs. </w:t>
      </w:r>
      <w:r>
        <w:rPr>
          <w:rFonts w:ascii="Calibri" w:hAnsi="Calibri"/>
          <w:color w:val="202833"/>
        </w:rPr>
        <w:t>Rise marketed an NFT gallery, transfers, collection subscriptions, profile pictures, and notifications. The legacy receive-opt-in workflow in Rise's FAQ is not a universal description of today's Digital Asset standard. [1][20][21]</w:t>
      </w:r>
    </w:p>
    <w:p>
      <w:pPr>
        <w:widowControl/>
        <w:numPr>
          <w:ilvl w:val="0"/>
          <w:numId w:val="10"/>
        </w:numPr>
      </w:pPr>
      <w:r>
        <w:rPr>
          <w:rFonts w:ascii="Calibri" w:hAnsi="Calibri"/>
          <w:b/>
          <w:color w:val="202833"/>
        </w:rPr>
        <w:t xml:space="preserve">Key custody. </w:t>
      </w:r>
      <w:r>
        <w:rPr>
          <w:rFonts w:ascii="Calibri" w:hAnsi="Calibri"/>
          <w:color w:val="202833"/>
        </w:rPr>
        <w:t>The user controls a 12-word recovery phrase or imported private key; the provider cannot recover lost keys or reverse valid transactions. [1][3][4]</w:t>
      </w:r>
    </w:p>
    <w:p>
      <w:pPr>
        <w:widowControl/>
        <w:numPr>
          <w:ilvl w:val="0"/>
          <w:numId w:val="10"/>
        </w:numPr>
      </w:pPr>
      <w:r>
        <w:rPr>
          <w:rFonts w:ascii="Calibri" w:hAnsi="Calibri"/>
          <w:b/>
          <w:color w:val="202833"/>
        </w:rPr>
        <w:t xml:space="preserve">Architecture. </w:t>
      </w:r>
      <w:r>
        <w:rPr>
          <w:rFonts w:ascii="Calibri" w:hAnsi="Calibri"/>
          <w:color w:val="202833"/>
        </w:rPr>
        <w:t>Rise is a lightweight client that depends on fullnode RPC, indexers, token metadata, price sources, dApps, and third-party routes rather than validating Aptos locally. [1][32]</w:t>
      </w:r>
    </w:p>
    <w:p>
      <w:pPr>
        <w:widowControl/>
        <w:numPr>
          <w:ilvl w:val="0"/>
          <w:numId w:val="10"/>
        </w:numPr>
      </w:pPr>
      <w:r>
        <w:rPr>
          <w:rFonts w:ascii="Calibri" w:hAnsi="Calibri"/>
          <w:b/>
          <w:color w:val="202833"/>
        </w:rPr>
        <w:t xml:space="preserve">Strong feature. </w:t>
      </w:r>
      <w:r>
        <w:rPr>
          <w:rFonts w:ascii="Calibri" w:hAnsi="Calibri"/>
          <w:color w:val="202833"/>
        </w:rPr>
        <w:t>Transaction simulation can preview expected balance changes before signing, but simulation is an estimate against a particular state and does not eliminate malicious-contract, routing, or front-running risk. [1][17]</w:t>
      </w:r>
    </w:p>
    <w:p>
      <w:pPr>
        <w:widowControl/>
        <w:numPr>
          <w:ilvl w:val="0"/>
          <w:numId w:val="10"/>
        </w:numPr>
      </w:pPr>
      <w:r>
        <w:rPr>
          <w:rFonts w:ascii="Calibri" w:hAnsi="Calibri"/>
          <w:b/>
          <w:color w:val="202833"/>
        </w:rPr>
        <w:t xml:space="preserve">Primary operational risk. </w:t>
      </w:r>
      <w:r>
        <w:rPr>
          <w:rFonts w:ascii="Calibri" w:hAnsi="Calibri"/>
          <w:color w:val="202833"/>
        </w:rPr>
        <w:t>The verified public release gap is unusually large for software that handles private keys and must track a rapidly changing protocol.</w:t>
      </w:r>
    </w:p>
    <w:p>
      <w:pPr>
        <w:pStyle w:val="Heading2"/>
        <w:keepNext/>
        <w:widowControl/>
      </w:pPr>
      <w:r>
        <w:t>Practical verdict</w:t>
      </w:r>
    </w:p>
    <w:p>
      <w:pPr>
        <w:widowControl/>
      </w:pPr>
      <w:r>
        <w:rPr>
          <w:rFonts w:ascii="Calibri" w:hAnsi="Calibri"/>
          <w:color w:val="202833"/>
        </w:rPr>
        <w:t>Rise was designed as a polished Aptos-native wallet and its feature model remains understandable. However, as of 30 August 2026, a prudent user should treat it as a legacy or maintenance-uncertain client until the installed build is independently verified against current Aptos standards and current dApps. It should not be selected for a new high-value treasury merely because the official website is still online. Existing users should first confirm recovery, exportability, current transaction decoding, AIP-62 connectivity, FA balance accuracy, and a small test transfer before relying on it.</w:t>
      </w:r>
    </w:p>
    <w:tbl>
      <w:tblPr>
        <w:tblW w:type="dxa" w:w="9360"/>
        <w:jc w:val="left"/>
        <w:tblLayout w:type="fixed"/>
        <w:tblLook w:firstColumn="1" w:firstRow="1" w:lastColumn="0" w:lastRow="0" w:noHBand="0" w:noVBand="1" w:val="04A0"/>
        <w:tblInd w:w="120" w:type="dxa"/>
        <w:tblBorders>
          <w:top w:val="single" w:sz="7" w:space="0" w:color="8A5B00"/>
          <w:left w:val="single" w:sz="7" w:space="0" w:color="8A5B00"/>
          <w:bottom w:val="single" w:sz="7" w:space="0" w:color="8A5B00"/>
          <w:right w:val="single" w:sz="7" w:space="0" w:color="8A5B00"/>
          <w:insideH w:val="single" w:sz="7" w:space="0" w:color="8A5B00"/>
          <w:insideV w:val="single" w:sz="7" w:space="0" w:color="8A5B00"/>
        </w:tblBorders>
      </w:tblPr>
      <w:tblGrid>
        <w:gridCol w:w="9360"/>
      </w:tblGrid>
      <w:tr>
        <w:trPr>
          <w:cantSplit/>
        </w:trPr>
        <w:tc>
          <w:tcPr>
            <w:tcW w:type="dxa" w:w="9360"/>
            <w:tcMar>
              <w:top w:w="80" w:type="dxa"/>
              <w:start w:w="120" w:type="dxa"/>
              <w:bottom w:w="80" w:type="dxa"/>
              <w:end w:w="120" w:type="dxa"/>
            </w:tcMar>
            <w:vAlign w:val="center"/>
            <w:shd w:fill="FFF5D6"/>
          </w:tcPr>
          <w:p>
            <w:pPr>
              <w:spacing w:after="60"/>
            </w:pPr>
            <w:r>
              <w:rPr>
                <w:rFonts w:ascii="Calibri" w:hAnsi="Calibri"/>
                <w:b/>
                <w:color w:val="8A5B00"/>
              </w:rPr>
              <w:t>Recommended posture</w:t>
            </w:r>
          </w:p>
          <w:p>
            <w:pPr>
              <w:spacing w:after="0" w:line="264" w:lineRule="auto"/>
            </w:pPr>
            <w:r>
              <w:rPr>
                <w:rFonts w:ascii="Calibri" w:hAnsi="Calibri"/>
                <w:color w:val="202833"/>
              </w:rPr>
              <w:t>Use a low-value test account first. Verify the download through risewallet.io and the official store publisher, compare the destination and asset identifier against an independent source, maintain an offline recovery backup, and consider migrating long-term or high-value holdings to a currently maintained Aptos wallet after proving the same account is recovered correctly.</w:t>
            </w:r>
          </w:p>
        </w:tc>
      </w:tr>
    </w:tbl>
    <w:p>
      <w:pPr>
        <w:widowControl/>
        <w:spacing w:after="0"/>
      </w:pPr>
    </w:p>
    <w:p>
      <w:pPr>
        <w:pStyle w:val="Heading2"/>
        <w:keepNext/>
        <w:widowControl/>
      </w:pPr>
      <w:r>
        <w:t>Evidence method and precision</w:t>
      </w:r>
    </w:p>
    <w:p>
      <w:pPr>
        <w:widowControl/>
      </w:pPr>
      <w:r>
        <w:rPr>
          <w:rFonts w:ascii="Calibri" w:hAnsi="Calibri"/>
          <w:color w:val="202833"/>
        </w:rPr>
        <w:t>This report separates four kinds of evidence: current Aptos protocol capability; current issuer-confirmed Aptos assets; Rise's own published feature claims; and verified public release metadata. “Supported by Aptos” is not automatically “supported by Rise.” “Displayed by Rise” is not automatically “transferable, swappable, stakeable, or authentic.” Product and protocol information was checked against official public sources available on 30 August 2026. [1]-[33]</w:t>
      </w:r>
    </w:p>
    <w:p>
      <w:pPr>
        <w:pStyle w:val="Heading2"/>
        <w:keepNext/>
        <w:widowControl/>
      </w:pPr>
      <w:r>
        <w:t>Report map</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500"/>
        <w:gridCol w:w="7860"/>
      </w:tblGrid>
      <w:tr>
        <w:trPr>
          <w:tblHeader w:val="true"/>
        </w:trPr>
        <w:tc>
          <w:tcPr>
            <w:tcW w:type="dxa" w:w="1500"/>
            <w:tcMar>
              <w:top w:w="80" w:type="dxa"/>
              <w:start w:w="120" w:type="dxa"/>
              <w:bottom w:w="80" w:type="dxa"/>
              <w:end w:w="120" w:type="dxa"/>
            </w:tcMar>
            <w:vAlign w:val="center"/>
            <w:shd w:fill="F2F4F7"/>
          </w:tcPr>
          <w:p>
            <w:pPr>
              <w:spacing w:after="0"/>
              <w:jc w:val="left"/>
            </w:pPr>
            <w:r>
              <w:rPr>
                <w:rFonts w:ascii="Calibri" w:hAnsi="Calibri"/>
                <w:b/>
                <w:color w:val="17365D"/>
                <w:sz w:val="19"/>
              </w:rPr>
              <w:t>Part</w:t>
            </w:r>
          </w:p>
        </w:tc>
        <w:tc>
          <w:tcPr>
            <w:tcW w:type="dxa" w:w="7860"/>
            <w:tcMar>
              <w:top w:w="80" w:type="dxa"/>
              <w:start w:w="120" w:type="dxa"/>
              <w:bottom w:w="80" w:type="dxa"/>
              <w:end w:w="120" w:type="dxa"/>
            </w:tcMar>
            <w:vAlign w:val="center"/>
            <w:shd w:fill="F2F4F7"/>
          </w:tcPr>
          <w:p>
            <w:pPr>
              <w:spacing w:after="0"/>
              <w:jc w:val="left"/>
            </w:pPr>
            <w:r>
              <w:rPr>
                <w:rFonts w:ascii="Calibri" w:hAnsi="Calibri"/>
                <w:b/>
                <w:color w:val="17365D"/>
                <w:sz w:val="19"/>
              </w:rPr>
              <w:t>Coverage</w:t>
            </w:r>
          </w:p>
        </w:tc>
      </w:tr>
      <w:tr>
        <w:trPr>
          <w:cantSplit/>
        </w:trPr>
        <w:tc>
          <w:tcPr>
            <w:tcW w:type="dxa" w:w="1500"/>
            <w:shd w:fill="FBFCFD"/>
          </w:tcPr>
          <w:p>
            <w:pPr>
              <w:spacing w:after="0" w:line="252" w:lineRule="auto"/>
              <w:jc w:val="left"/>
            </w:pPr>
            <w:r>
              <w:rPr>
                <w:rFonts w:ascii="Calibri" w:hAnsi="Calibri"/>
                <w:color w:val="202833"/>
                <w:sz w:val="18"/>
              </w:rPr>
              <w:t>1-4</w:t>
            </w:r>
          </w:p>
        </w:tc>
        <w:tc>
          <w:tcPr>
            <w:tcW w:type="dxa" w:w="7860"/>
            <w:shd w:fill="FBFCFD"/>
          </w:tcPr>
          <w:p>
            <w:pPr>
              <w:spacing w:after="0" w:line="252" w:lineRule="auto"/>
              <w:jc w:val="left"/>
            </w:pPr>
            <w:r>
              <w:rPr>
                <w:rFonts w:ascii="Calibri" w:hAnsi="Calibri"/>
                <w:color w:val="202833"/>
                <w:sz w:val="18"/>
              </w:rPr>
              <w:t>Product identity, lifecycle status, architecture, accounts, keys, platforms, and installation.</w:t>
            </w:r>
          </w:p>
        </w:tc>
      </w:tr>
      <w:tr>
        <w:trPr>
          <w:cantSplit/>
        </w:trPr>
        <w:tc>
          <w:tcPr>
            <w:tcW w:type="dxa" w:w="1500"/>
          </w:tcPr>
          <w:p>
            <w:pPr>
              <w:spacing w:after="0" w:line="252" w:lineRule="auto"/>
              <w:jc w:val="left"/>
            </w:pPr>
            <w:r>
              <w:rPr>
                <w:rFonts w:ascii="Calibri" w:hAnsi="Calibri"/>
                <w:color w:val="202833"/>
                <w:sz w:val="18"/>
              </w:rPr>
              <w:t>5-7</w:t>
            </w:r>
          </w:p>
        </w:tc>
        <w:tc>
          <w:tcPr>
            <w:tcW w:type="dxa" w:w="7860"/>
          </w:tcPr>
          <w:p>
            <w:pPr>
              <w:spacing w:after="0" w:line="252" w:lineRule="auto"/>
              <w:jc w:val="left"/>
            </w:pPr>
            <w:r>
              <w:rPr>
                <w:rFonts w:ascii="Calibri" w:hAnsi="Calibri"/>
                <w:color w:val="202833"/>
                <w:sz w:val="18"/>
              </w:rPr>
              <w:t>Explicit cryptocurrencies, Aptos asset standards, identity checks, and portfolio interpretation.</w:t>
            </w:r>
          </w:p>
        </w:tc>
      </w:tr>
      <w:tr>
        <w:trPr>
          <w:cantSplit/>
        </w:trPr>
        <w:tc>
          <w:tcPr>
            <w:tcW w:type="dxa" w:w="1500"/>
            <w:shd w:fill="FBFCFD"/>
          </w:tcPr>
          <w:p>
            <w:pPr>
              <w:spacing w:after="0" w:line="252" w:lineRule="auto"/>
              <w:jc w:val="left"/>
            </w:pPr>
            <w:r>
              <w:rPr>
                <w:rFonts w:ascii="Calibri" w:hAnsi="Calibri"/>
                <w:color w:val="202833"/>
                <w:sz w:val="18"/>
              </w:rPr>
              <w:t>8-12</w:t>
            </w:r>
          </w:p>
        </w:tc>
        <w:tc>
          <w:tcPr>
            <w:tcW w:type="dxa" w:w="7860"/>
            <w:shd w:fill="FBFCFD"/>
          </w:tcPr>
          <w:p>
            <w:pPr>
              <w:spacing w:after="0" w:line="252" w:lineRule="auto"/>
              <w:jc w:val="left"/>
            </w:pPr>
            <w:r>
              <w:rPr>
                <w:rFonts w:ascii="Calibri" w:hAnsi="Calibri"/>
                <w:color w:val="202833"/>
                <w:sz w:val="18"/>
              </w:rPr>
              <w:t>Transactions, gas, dApps, swaps, staking, NFTs, Aptos Names, and on-ramp claims.</w:t>
            </w:r>
          </w:p>
        </w:tc>
      </w:tr>
      <w:tr>
        <w:trPr>
          <w:cantSplit/>
        </w:trPr>
        <w:tc>
          <w:tcPr>
            <w:tcW w:type="dxa" w:w="1500"/>
          </w:tcPr>
          <w:p>
            <w:pPr>
              <w:spacing w:after="0" w:line="252" w:lineRule="auto"/>
              <w:jc w:val="left"/>
            </w:pPr>
            <w:r>
              <w:rPr>
                <w:rFonts w:ascii="Calibri" w:hAnsi="Calibri"/>
                <w:color w:val="202833"/>
                <w:sz w:val="18"/>
              </w:rPr>
              <w:t>13-17</w:t>
            </w:r>
          </w:p>
        </w:tc>
        <w:tc>
          <w:tcPr>
            <w:tcW w:type="dxa" w:w="7860"/>
          </w:tcPr>
          <w:p>
            <w:pPr>
              <w:spacing w:after="0" w:line="252" w:lineRule="auto"/>
              <w:jc w:val="left"/>
            </w:pPr>
            <w:r>
              <w:rPr>
                <w:rFonts w:ascii="Calibri" w:hAnsi="Calibri"/>
                <w:color w:val="202833"/>
                <w:sz w:val="18"/>
              </w:rPr>
              <w:t>Recovery, security architecture, threat model, privacy, and maintenance compatibility.</w:t>
            </w:r>
          </w:p>
        </w:tc>
      </w:tr>
      <w:tr>
        <w:trPr>
          <w:cantSplit/>
        </w:trPr>
        <w:tc>
          <w:tcPr>
            <w:tcW w:type="dxa" w:w="1500"/>
            <w:shd w:fill="FBFCFD"/>
          </w:tcPr>
          <w:p>
            <w:pPr>
              <w:spacing w:after="0" w:line="252" w:lineRule="auto"/>
              <w:jc w:val="left"/>
            </w:pPr>
            <w:r>
              <w:rPr>
                <w:rFonts w:ascii="Calibri" w:hAnsi="Calibri"/>
                <w:color w:val="202833"/>
                <w:sz w:val="18"/>
              </w:rPr>
              <w:t>18-21</w:t>
            </w:r>
          </w:p>
        </w:tc>
        <w:tc>
          <w:tcPr>
            <w:tcW w:type="dxa" w:w="7860"/>
            <w:shd w:fill="FBFCFD"/>
          </w:tcPr>
          <w:p>
            <w:pPr>
              <w:spacing w:after="0" w:line="252" w:lineRule="auto"/>
              <w:jc w:val="left"/>
            </w:pPr>
            <w:r>
              <w:rPr>
                <w:rFonts w:ascii="Calibri" w:hAnsi="Calibri"/>
                <w:color w:val="202833"/>
                <w:sz w:val="18"/>
              </w:rPr>
              <w:t>Alternatives, suitability, operational runbook, troubleshooting, and advanced clarifications.</w:t>
            </w:r>
          </w:p>
        </w:tc>
      </w:tr>
      <w:tr>
        <w:trPr>
          <w:cantSplit/>
        </w:trPr>
        <w:tc>
          <w:tcPr>
            <w:tcW w:type="dxa" w:w="1500"/>
          </w:tcPr>
          <w:p>
            <w:pPr>
              <w:spacing w:after="0" w:line="252" w:lineRule="auto"/>
              <w:jc w:val="left"/>
            </w:pPr>
            <w:r>
              <w:rPr>
                <w:rFonts w:ascii="Calibri" w:hAnsi="Calibri"/>
                <w:color w:val="202833"/>
                <w:sz w:val="18"/>
              </w:rPr>
              <w:t>22-24</w:t>
            </w:r>
          </w:p>
        </w:tc>
        <w:tc>
          <w:tcPr>
            <w:tcW w:type="dxa" w:w="7860"/>
          </w:tcPr>
          <w:p>
            <w:pPr>
              <w:spacing w:after="0" w:line="252" w:lineRule="auto"/>
              <w:jc w:val="left"/>
            </w:pPr>
            <w:r>
              <w:rPr>
                <w:rFonts w:ascii="Calibri" w:hAnsi="Calibri"/>
                <w:color w:val="202833"/>
                <w:sz w:val="18"/>
              </w:rPr>
              <w:t>Overall assessment, glossary, sources, methodology limits, and disclaimer.</w:t>
            </w:r>
          </w:p>
        </w:tc>
      </w:tr>
    </w:tbl>
    <w:p>
      <w:pPr>
        <w:widowControl/>
        <w:spacing w:after="0"/>
      </w:pPr>
    </w:p>
    <w:p>
      <w:pPr>
        <w:pStyle w:val="Heading1"/>
        <w:keepNext/>
        <w:pageBreakBefore/>
        <w:widowControl/>
      </w:pPr>
      <w:r>
        <w:t>1. Product identity, ownership, and scope</w:t>
      </w:r>
    </w:p>
    <w:p>
      <w:pPr>
        <w:widowControl/>
      </w:pPr>
      <w:r>
        <w:rPr>
          <w:rFonts w:ascii="Calibri" w:hAnsi="Calibri"/>
          <w:color w:val="202833"/>
        </w:rPr>
        <w:t>Rise Wallet is an Aptos-focused self-custody interface. The official website calls it a non-custodial digital wallet for the Aptos blockchain and states that it is available as a browser extension and mobile wallet. The Apple and Google listings identify Solrise Research LTD as the developer. Mozilla lists the extension as “Rise - Aptos Wallet by Solflare” and describes it as built by the team behind Solflare on Solana. [1][10][11][12]</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2050"/>
        <w:gridCol w:w="7310"/>
      </w:tblGrid>
      <w:tr>
        <w:trPr>
          <w:tblHeader w:val="true"/>
        </w:trPr>
        <w:tc>
          <w:tcPr>
            <w:tcW w:type="dxa" w:w="2050"/>
            <w:tcMar>
              <w:top w:w="80" w:type="dxa"/>
              <w:start w:w="120" w:type="dxa"/>
              <w:bottom w:w="80" w:type="dxa"/>
              <w:end w:w="120" w:type="dxa"/>
            </w:tcMar>
            <w:vAlign w:val="center"/>
            <w:shd w:fill="F2F4F7"/>
          </w:tcPr>
          <w:p>
            <w:pPr>
              <w:spacing w:after="0"/>
              <w:jc w:val="left"/>
            </w:pPr>
            <w:r>
              <w:rPr>
                <w:rFonts w:ascii="Calibri" w:hAnsi="Calibri"/>
                <w:b/>
                <w:color w:val="17365D"/>
                <w:sz w:val="19"/>
              </w:rPr>
              <w:t>Characteristic</w:t>
            </w:r>
          </w:p>
        </w:tc>
        <w:tc>
          <w:tcPr>
            <w:tcW w:type="dxa" w:w="7310"/>
            <w:tcMar>
              <w:top w:w="80" w:type="dxa"/>
              <w:start w:w="120" w:type="dxa"/>
              <w:bottom w:w="80" w:type="dxa"/>
              <w:end w:w="120" w:type="dxa"/>
            </w:tcMar>
            <w:vAlign w:val="center"/>
            <w:shd w:fill="F2F4F7"/>
          </w:tcPr>
          <w:p>
            <w:pPr>
              <w:spacing w:after="0"/>
              <w:jc w:val="left"/>
            </w:pPr>
            <w:r>
              <w:rPr>
                <w:rFonts w:ascii="Calibri" w:hAnsi="Calibri"/>
                <w:b/>
                <w:color w:val="17365D"/>
                <w:sz w:val="19"/>
              </w:rPr>
              <w:t>Advanced description</w:t>
            </w:r>
          </w:p>
        </w:tc>
      </w:tr>
      <w:tr>
        <w:trPr>
          <w:cantSplit/>
        </w:trPr>
        <w:tc>
          <w:tcPr>
            <w:tcW w:type="dxa" w:w="2050"/>
            <w:shd w:fill="FBFCFD"/>
          </w:tcPr>
          <w:p>
            <w:pPr>
              <w:spacing w:after="0" w:line="252" w:lineRule="auto"/>
              <w:jc w:val="left"/>
            </w:pPr>
            <w:r>
              <w:rPr>
                <w:rFonts w:ascii="Calibri" w:hAnsi="Calibri"/>
                <w:color w:val="202833"/>
                <w:sz w:val="18"/>
              </w:rPr>
              <w:t>Network scope</w:t>
            </w:r>
          </w:p>
        </w:tc>
        <w:tc>
          <w:tcPr>
            <w:tcW w:type="dxa" w:w="7310"/>
            <w:shd w:fill="FBFCFD"/>
          </w:tcPr>
          <w:p>
            <w:pPr>
              <w:spacing w:after="0" w:line="252" w:lineRule="auto"/>
              <w:jc w:val="left"/>
            </w:pPr>
            <w:r>
              <w:rPr>
                <w:rFonts w:ascii="Calibri" w:hAnsi="Calibri"/>
                <w:color w:val="202833"/>
                <w:sz w:val="18"/>
              </w:rPr>
              <w:t>Aptos mainnet plus any test/development networks exposed by the client; not a general multichain account system.</w:t>
            </w:r>
          </w:p>
        </w:tc>
      </w:tr>
      <w:tr>
        <w:trPr>
          <w:cantSplit/>
        </w:trPr>
        <w:tc>
          <w:tcPr>
            <w:tcW w:type="dxa" w:w="2050"/>
          </w:tcPr>
          <w:p>
            <w:pPr>
              <w:spacing w:after="0" w:line="252" w:lineRule="auto"/>
              <w:jc w:val="left"/>
            </w:pPr>
            <w:r>
              <w:rPr>
                <w:rFonts w:ascii="Calibri" w:hAnsi="Calibri"/>
                <w:color w:val="202833"/>
                <w:sz w:val="18"/>
              </w:rPr>
              <w:t>Custody model</w:t>
            </w:r>
          </w:p>
        </w:tc>
        <w:tc>
          <w:tcPr>
            <w:tcW w:type="dxa" w:w="7310"/>
          </w:tcPr>
          <w:p>
            <w:pPr>
              <w:spacing w:after="0" w:line="252" w:lineRule="auto"/>
              <w:jc w:val="left"/>
            </w:pPr>
            <w:r>
              <w:rPr>
                <w:rFonts w:ascii="Calibri" w:hAnsi="Calibri"/>
                <w:color w:val="202833"/>
                <w:sz w:val="18"/>
              </w:rPr>
              <w:t>Self-custody: local user-controlled keys authorize Aptos transactions. Rise does not hold an exchange balance for the user.</w:t>
            </w:r>
          </w:p>
        </w:tc>
      </w:tr>
      <w:tr>
        <w:trPr>
          <w:cantSplit/>
        </w:trPr>
        <w:tc>
          <w:tcPr>
            <w:tcW w:type="dxa" w:w="2050"/>
            <w:shd w:fill="FBFCFD"/>
          </w:tcPr>
          <w:p>
            <w:pPr>
              <w:spacing w:after="0" w:line="252" w:lineRule="auto"/>
              <w:jc w:val="left"/>
            </w:pPr>
            <w:r>
              <w:rPr>
                <w:rFonts w:ascii="Calibri" w:hAnsi="Calibri"/>
                <w:color w:val="202833"/>
                <w:sz w:val="18"/>
              </w:rPr>
              <w:t>Account model</w:t>
            </w:r>
          </w:p>
        </w:tc>
        <w:tc>
          <w:tcPr>
            <w:tcW w:type="dxa" w:w="7310"/>
            <w:shd w:fill="FBFCFD"/>
          </w:tcPr>
          <w:p>
            <w:pPr>
              <w:spacing w:after="0" w:line="252" w:lineRule="auto"/>
              <w:jc w:val="left"/>
            </w:pPr>
            <w:r>
              <w:rPr>
                <w:rFonts w:ascii="Calibri" w:hAnsi="Calibri"/>
                <w:color w:val="202833"/>
                <w:sz w:val="18"/>
              </w:rPr>
              <w:t>Aptos account address, authentication key, public key, and sequence-number transaction model.</w:t>
            </w:r>
          </w:p>
        </w:tc>
      </w:tr>
      <w:tr>
        <w:trPr>
          <w:cantSplit/>
        </w:trPr>
        <w:tc>
          <w:tcPr>
            <w:tcW w:type="dxa" w:w="2050"/>
          </w:tcPr>
          <w:p>
            <w:pPr>
              <w:spacing w:after="0" w:line="252" w:lineRule="auto"/>
              <w:jc w:val="left"/>
            </w:pPr>
            <w:r>
              <w:rPr>
                <w:rFonts w:ascii="Calibri" w:hAnsi="Calibri"/>
                <w:color w:val="202833"/>
                <w:sz w:val="18"/>
              </w:rPr>
              <w:t>Asset model</w:t>
            </w:r>
          </w:p>
        </w:tc>
        <w:tc>
          <w:tcPr>
            <w:tcW w:type="dxa" w:w="7310"/>
          </w:tcPr>
          <w:p>
            <w:pPr>
              <w:spacing w:after="0" w:line="252" w:lineRule="auto"/>
              <w:jc w:val="left"/>
            </w:pPr>
            <w:r>
              <w:rPr>
                <w:rFonts w:ascii="Calibri" w:hAnsi="Calibri"/>
                <w:color w:val="202833"/>
                <w:sz w:val="18"/>
              </w:rPr>
              <w:t>APT plus Aptos Coin/FA balances and Aptos Digital Assets that the client can discover and interpret.</w:t>
            </w:r>
          </w:p>
        </w:tc>
      </w:tr>
      <w:tr>
        <w:trPr>
          <w:cantSplit/>
        </w:trPr>
        <w:tc>
          <w:tcPr>
            <w:tcW w:type="dxa" w:w="2050"/>
            <w:shd w:fill="FBFCFD"/>
          </w:tcPr>
          <w:p>
            <w:pPr>
              <w:spacing w:after="0" w:line="252" w:lineRule="auto"/>
              <w:jc w:val="left"/>
            </w:pPr>
            <w:r>
              <w:rPr>
                <w:rFonts w:ascii="Calibri" w:hAnsi="Calibri"/>
                <w:color w:val="202833"/>
                <w:sz w:val="18"/>
              </w:rPr>
              <w:t>Execution model</w:t>
            </w:r>
          </w:p>
        </w:tc>
        <w:tc>
          <w:tcPr>
            <w:tcW w:type="dxa" w:w="7310"/>
            <w:shd w:fill="FBFCFD"/>
          </w:tcPr>
          <w:p>
            <w:pPr>
              <w:spacing w:after="0" w:line="252" w:lineRule="auto"/>
              <w:jc w:val="left"/>
            </w:pPr>
            <w:r>
              <w:rPr>
                <w:rFonts w:ascii="Calibri" w:hAnsi="Calibri"/>
                <w:color w:val="202833"/>
                <w:sz w:val="18"/>
              </w:rPr>
              <w:t>The wallet constructs and signs transactions that call Move entry functions; validators execute and commit the resulting state changes.</w:t>
            </w:r>
          </w:p>
        </w:tc>
      </w:tr>
      <w:tr>
        <w:trPr>
          <w:cantSplit/>
        </w:trPr>
        <w:tc>
          <w:tcPr>
            <w:tcW w:type="dxa" w:w="2050"/>
          </w:tcPr>
          <w:p>
            <w:pPr>
              <w:spacing w:after="0" w:line="252" w:lineRule="auto"/>
              <w:jc w:val="left"/>
            </w:pPr>
            <w:r>
              <w:rPr>
                <w:rFonts w:ascii="Calibri" w:hAnsi="Calibri"/>
                <w:color w:val="202833"/>
                <w:sz w:val="18"/>
              </w:rPr>
              <w:t>Data model</w:t>
            </w:r>
          </w:p>
        </w:tc>
        <w:tc>
          <w:tcPr>
            <w:tcW w:type="dxa" w:w="7310"/>
          </w:tcPr>
          <w:p>
            <w:pPr>
              <w:spacing w:after="0" w:line="252" w:lineRule="auto"/>
              <w:jc w:val="left"/>
            </w:pPr>
            <w:r>
              <w:rPr>
                <w:rFonts w:ascii="Calibri" w:hAnsi="Calibri"/>
                <w:color w:val="202833"/>
                <w:sz w:val="18"/>
              </w:rPr>
              <w:t>Remote RPC and indexer queries supply balances, resources, metadata, history, prices, NFTs, and simulation results.</w:t>
            </w:r>
          </w:p>
        </w:tc>
      </w:tr>
      <w:tr>
        <w:trPr>
          <w:cantSplit/>
        </w:trPr>
        <w:tc>
          <w:tcPr>
            <w:tcW w:type="dxa" w:w="2050"/>
            <w:shd w:fill="FBFCFD"/>
          </w:tcPr>
          <w:p>
            <w:pPr>
              <w:spacing w:after="0" w:line="252" w:lineRule="auto"/>
              <w:jc w:val="left"/>
            </w:pPr>
            <w:r>
              <w:rPr>
                <w:rFonts w:ascii="Calibri" w:hAnsi="Calibri"/>
                <w:color w:val="202833"/>
                <w:sz w:val="18"/>
              </w:rPr>
              <w:t>User interfaces</w:t>
            </w:r>
          </w:p>
        </w:tc>
        <w:tc>
          <w:tcPr>
            <w:tcW w:type="dxa" w:w="7310"/>
            <w:shd w:fill="FBFCFD"/>
          </w:tcPr>
          <w:p>
            <w:pPr>
              <w:spacing w:after="0" w:line="252" w:lineRule="auto"/>
              <w:jc w:val="left"/>
            </w:pPr>
            <w:r>
              <w:rPr>
                <w:rFonts w:ascii="Calibri" w:hAnsi="Calibri"/>
                <w:color w:val="202833"/>
                <w:sz w:val="18"/>
              </w:rPr>
              <w:t>iPhone and Android mobile applications plus browser extension; public evidence also confirms a Firefox package.</w:t>
            </w:r>
          </w:p>
        </w:tc>
      </w:tr>
      <w:tr>
        <w:trPr>
          <w:cantSplit/>
        </w:trPr>
        <w:tc>
          <w:tcPr>
            <w:tcW w:type="dxa" w:w="2050"/>
          </w:tcPr>
          <w:p>
            <w:pPr>
              <w:spacing w:after="0" w:line="252" w:lineRule="auto"/>
              <w:jc w:val="left"/>
            </w:pPr>
            <w:r>
              <w:rPr>
                <w:rFonts w:ascii="Calibri" w:hAnsi="Calibri"/>
                <w:color w:val="202833"/>
                <w:sz w:val="18"/>
              </w:rPr>
              <w:t>Provider recovery</w:t>
            </w:r>
          </w:p>
        </w:tc>
        <w:tc>
          <w:tcPr>
            <w:tcW w:type="dxa" w:w="7310"/>
          </w:tcPr>
          <w:p>
            <w:pPr>
              <w:spacing w:after="0" w:line="252" w:lineRule="auto"/>
              <w:jc w:val="left"/>
            </w:pPr>
            <w:r>
              <w:rPr>
                <w:rFonts w:ascii="Calibri" w:hAnsi="Calibri"/>
                <w:color w:val="202833"/>
                <w:sz w:val="18"/>
              </w:rPr>
              <w:t>None for lost recovery phrases or stolen assets; valid on-chain transactions are not reversed by the wallet provider.</w:t>
            </w:r>
          </w:p>
        </w:tc>
      </w:tr>
    </w:tbl>
    <w:p>
      <w:pPr>
        <w:widowControl/>
        <w:spacing w:after="0"/>
      </w:pPr>
    </w:p>
    <w:p>
      <w:pPr>
        <w:pStyle w:val="Heading2"/>
        <w:keepNext/>
        <w:widowControl/>
      </w:pPr>
      <w:r>
        <w:t>What Rise Wallet is not</w:t>
      </w:r>
    </w:p>
    <w:p>
      <w:pPr>
        <w:widowControl/>
        <w:numPr>
          <w:ilvl w:val="0"/>
          <w:numId w:val="10"/>
        </w:numPr>
      </w:pPr>
      <w:r>
        <w:rPr>
          <w:rFonts w:ascii="Calibri" w:hAnsi="Calibri"/>
          <w:b/>
          <w:color w:val="202833"/>
        </w:rPr>
        <w:t xml:space="preserve">Not a bank or exchange account. </w:t>
      </w:r>
      <w:r>
        <w:rPr>
          <w:rFonts w:ascii="Calibri" w:hAnsi="Calibri"/>
          <w:color w:val="202833"/>
        </w:rPr>
        <w:t>The wallet provider does not custody an internal fiat or cryptocurrency balance.</w:t>
      </w:r>
    </w:p>
    <w:p>
      <w:pPr>
        <w:widowControl/>
        <w:numPr>
          <w:ilvl w:val="0"/>
          <w:numId w:val="10"/>
        </w:numPr>
      </w:pPr>
      <w:r>
        <w:rPr>
          <w:rFonts w:ascii="Calibri" w:hAnsi="Calibri"/>
          <w:b/>
          <w:color w:val="202833"/>
        </w:rPr>
        <w:t xml:space="preserve">Not multichain custody. </w:t>
      </w:r>
      <w:r>
        <w:rPr>
          <w:rFonts w:ascii="Calibri" w:hAnsi="Calibri"/>
          <w:color w:val="202833"/>
        </w:rPr>
        <w:t>BTC, ETH, SOL, BNB, ADA, DOT, KSM, XRP, DOGE, and TON are not controlled on their native networks by an Aptos-only Rise account.</w:t>
      </w:r>
    </w:p>
    <w:p>
      <w:pPr>
        <w:widowControl/>
        <w:numPr>
          <w:ilvl w:val="0"/>
          <w:numId w:val="10"/>
        </w:numPr>
      </w:pPr>
      <w:r>
        <w:rPr>
          <w:rFonts w:ascii="Calibri" w:hAnsi="Calibri"/>
          <w:b/>
          <w:color w:val="202833"/>
        </w:rPr>
        <w:t xml:space="preserve">Not a full node. </w:t>
      </w:r>
      <w:r>
        <w:rPr>
          <w:rFonts w:ascii="Calibri" w:hAnsi="Calibri"/>
          <w:color w:val="202833"/>
        </w:rPr>
        <w:t>Rise relies on remote Aptos infrastructure and does not independently validate consensus or retain the complete ledger.</w:t>
      </w:r>
    </w:p>
    <w:p>
      <w:pPr>
        <w:widowControl/>
        <w:numPr>
          <w:ilvl w:val="0"/>
          <w:numId w:val="10"/>
        </w:numPr>
      </w:pPr>
      <w:r>
        <w:rPr>
          <w:rFonts w:ascii="Calibri" w:hAnsi="Calibri"/>
          <w:b/>
          <w:color w:val="202833"/>
        </w:rPr>
        <w:t xml:space="preserve">Not an asset auditor. </w:t>
      </w:r>
      <w:r>
        <w:rPr>
          <w:rFonts w:ascii="Calibri" w:hAnsi="Calibri"/>
          <w:color w:val="202833"/>
        </w:rPr>
        <w:t>A logo, symbol, price, or gallery entry cannot prove issuer identity, reserve quality, contract safety, or legal status.</w:t>
      </w:r>
    </w:p>
    <w:p>
      <w:pPr>
        <w:widowControl/>
        <w:numPr>
          <w:ilvl w:val="0"/>
          <w:numId w:val="10"/>
        </w:numPr>
      </w:pPr>
      <w:r>
        <w:rPr>
          <w:rFonts w:ascii="Calibri" w:hAnsi="Calibri"/>
          <w:b/>
          <w:color w:val="202833"/>
        </w:rPr>
        <w:t xml:space="preserve">Not an automatic bridge. </w:t>
      </w:r>
      <w:r>
        <w:rPr>
          <w:rFonts w:ascii="Calibri" w:hAnsi="Calibri"/>
          <w:color w:val="202833"/>
        </w:rPr>
        <w:t>An external-chain asset appears on Aptos only after issuance or bridging into an Aptos representation; the original asset remains on its source network or reserve system.</w:t>
      </w:r>
    </w:p>
    <w:p>
      <w:pPr>
        <w:widowControl/>
        <w:numPr>
          <w:ilvl w:val="0"/>
          <w:numId w:val="10"/>
        </w:numPr>
      </w:pPr>
      <w:r>
        <w:rPr>
          <w:rFonts w:ascii="Calibri" w:hAnsi="Calibri"/>
          <w:b/>
          <w:color w:val="202833"/>
        </w:rPr>
        <w:t xml:space="preserve">Not a recovery service. </w:t>
      </w:r>
      <w:r>
        <w:rPr>
          <w:rFonts w:ascii="Calibri" w:hAnsi="Calibri"/>
          <w:color w:val="202833"/>
        </w:rPr>
        <w:t>Support cannot reconstruct an unknown mnemonic or force a recipient to return funds. [1][3]</w:t>
      </w:r>
    </w:p>
    <w:p>
      <w:pPr>
        <w:widowControl/>
        <w:numPr>
          <w:ilvl w:val="0"/>
          <w:numId w:val="10"/>
        </w:numPr>
      </w:pPr>
      <w:r>
        <w:rPr>
          <w:rFonts w:ascii="Calibri" w:hAnsi="Calibri"/>
          <w:b/>
          <w:color w:val="202833"/>
        </w:rPr>
        <w:t xml:space="preserve">Not anonymous. </w:t>
      </w:r>
      <w:r>
        <w:rPr>
          <w:rFonts w:ascii="Calibri" w:hAnsi="Calibri"/>
          <w:color w:val="202833"/>
        </w:rPr>
        <w:t>Account addresses, transfers, balances, dApp calls, staking positions, and NFT ownership are observable on the public Aptos ledger.</w:t>
      </w:r>
    </w:p>
    <w:p>
      <w:pPr>
        <w:pStyle w:val="Heading2"/>
        <w:keepNext/>
        <w:widowControl/>
      </w:pPr>
      <w:r>
        <w:t>1.1 Product-status evidence as of August 2026</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600"/>
        <w:gridCol w:w="3480"/>
        <w:gridCol w:w="4280"/>
      </w:tblGrid>
      <w:tr>
        <w:trPr>
          <w:tblHeader w:val="true"/>
        </w:trPr>
        <w:tc>
          <w:tcPr>
            <w:tcW w:type="dxa" w:w="1600"/>
            <w:tcMar>
              <w:top w:w="80" w:type="dxa"/>
              <w:start w:w="120" w:type="dxa"/>
              <w:bottom w:w="80" w:type="dxa"/>
              <w:end w:w="120" w:type="dxa"/>
            </w:tcMar>
            <w:vAlign w:val="center"/>
            <w:shd w:fill="F2F4F7"/>
          </w:tcPr>
          <w:p>
            <w:pPr>
              <w:spacing w:after="0"/>
              <w:jc w:val="left"/>
            </w:pPr>
            <w:r>
              <w:rPr>
                <w:rFonts w:ascii="Calibri" w:hAnsi="Calibri"/>
                <w:b/>
                <w:color w:val="17365D"/>
                <w:sz w:val="19"/>
              </w:rPr>
              <w:t>Surface</w:t>
            </w:r>
          </w:p>
        </w:tc>
        <w:tc>
          <w:tcPr>
            <w:tcW w:type="dxa" w:w="3480"/>
            <w:tcMar>
              <w:top w:w="80" w:type="dxa"/>
              <w:start w:w="120" w:type="dxa"/>
              <w:bottom w:w="80" w:type="dxa"/>
              <w:end w:w="120" w:type="dxa"/>
            </w:tcMar>
            <w:vAlign w:val="center"/>
            <w:shd w:fill="F2F4F7"/>
          </w:tcPr>
          <w:p>
            <w:pPr>
              <w:spacing w:after="0"/>
              <w:jc w:val="left"/>
            </w:pPr>
            <w:r>
              <w:rPr>
                <w:rFonts w:ascii="Calibri" w:hAnsi="Calibri"/>
                <w:b/>
                <w:color w:val="17365D"/>
                <w:sz w:val="19"/>
              </w:rPr>
              <w:t>Verified public state</w:t>
            </w:r>
          </w:p>
        </w:tc>
        <w:tc>
          <w:tcPr>
            <w:tcW w:type="dxa" w:w="4280"/>
            <w:tcMar>
              <w:top w:w="80" w:type="dxa"/>
              <w:start w:w="120" w:type="dxa"/>
              <w:bottom w:w="80" w:type="dxa"/>
              <w:end w:w="120" w:type="dxa"/>
            </w:tcMar>
            <w:vAlign w:val="center"/>
            <w:shd w:fill="F2F4F7"/>
          </w:tcPr>
          <w:p>
            <w:pPr>
              <w:spacing w:after="0"/>
              <w:jc w:val="left"/>
            </w:pPr>
            <w:r>
              <w:rPr>
                <w:rFonts w:ascii="Calibri" w:hAnsi="Calibri"/>
                <w:b/>
                <w:color w:val="17365D"/>
                <w:sz w:val="19"/>
              </w:rPr>
              <w:t>Interpretation</w:t>
            </w:r>
          </w:p>
        </w:tc>
      </w:tr>
      <w:tr>
        <w:trPr>
          <w:cantSplit/>
        </w:trPr>
        <w:tc>
          <w:tcPr>
            <w:tcW w:type="dxa" w:w="1600"/>
            <w:shd w:fill="FBFCFD"/>
          </w:tcPr>
          <w:p>
            <w:pPr>
              <w:spacing w:after="0" w:line="252" w:lineRule="auto"/>
              <w:jc w:val="left"/>
            </w:pPr>
            <w:r>
              <w:rPr>
                <w:rFonts w:ascii="Calibri" w:hAnsi="Calibri"/>
                <w:color w:val="202833"/>
                <w:sz w:val="18"/>
              </w:rPr>
              <w:t>Official website</w:t>
            </w:r>
          </w:p>
        </w:tc>
        <w:tc>
          <w:tcPr>
            <w:tcW w:type="dxa" w:w="3480"/>
            <w:shd w:fill="FBFCFD"/>
          </w:tcPr>
          <w:p>
            <w:pPr>
              <w:spacing w:after="0" w:line="252" w:lineRule="auto"/>
              <w:jc w:val="left"/>
            </w:pPr>
            <w:r>
              <w:rPr>
                <w:rFonts w:ascii="Calibri" w:hAnsi="Calibri"/>
                <w:color w:val="202833"/>
                <w:sz w:val="18"/>
              </w:rPr>
              <w:t>Online; copyright line and testimonials predominantly date from 2022.</w:t>
            </w:r>
          </w:p>
        </w:tc>
        <w:tc>
          <w:tcPr>
            <w:tcW w:type="dxa" w:w="4280"/>
            <w:shd w:fill="FBFCFD"/>
          </w:tcPr>
          <w:p>
            <w:pPr>
              <w:spacing w:after="0" w:line="252" w:lineRule="auto"/>
              <w:jc w:val="left"/>
            </w:pPr>
            <w:r>
              <w:rPr>
                <w:rFonts w:ascii="Calibri" w:hAnsi="Calibri"/>
                <w:color w:val="202833"/>
                <w:sz w:val="18"/>
              </w:rPr>
              <w:t>The site proves brand presence, not current binary maintenance or compatibility. [1]</w:t>
            </w:r>
          </w:p>
        </w:tc>
      </w:tr>
      <w:tr>
        <w:trPr>
          <w:cantSplit/>
        </w:trPr>
        <w:tc>
          <w:tcPr>
            <w:tcW w:type="dxa" w:w="1600"/>
          </w:tcPr>
          <w:p>
            <w:pPr>
              <w:spacing w:after="0" w:line="252" w:lineRule="auto"/>
              <w:jc w:val="left"/>
            </w:pPr>
            <w:r>
              <w:rPr>
                <w:rFonts w:ascii="Calibri" w:hAnsi="Calibri"/>
                <w:color w:val="202833"/>
                <w:sz w:val="18"/>
              </w:rPr>
              <w:t>Documentation</w:t>
            </w:r>
          </w:p>
        </w:tc>
        <w:tc>
          <w:tcPr>
            <w:tcW w:type="dxa" w:w="3480"/>
          </w:tcPr>
          <w:p>
            <w:pPr>
              <w:spacing w:after="0" w:line="252" w:lineRule="auto"/>
              <w:jc w:val="left"/>
            </w:pPr>
            <w:r>
              <w:rPr>
                <w:rFonts w:ascii="Calibri" w:hAnsi="Calibri"/>
                <w:color w:val="202833"/>
                <w:sz w:val="18"/>
              </w:rPr>
              <w:t>Online; core pages and integration guides state “last updated 3 years ago.”</w:t>
            </w:r>
          </w:p>
        </w:tc>
        <w:tc>
          <w:tcPr>
            <w:tcW w:type="dxa" w:w="4280"/>
          </w:tcPr>
          <w:p>
            <w:pPr>
              <w:spacing w:after="0" w:line="252" w:lineRule="auto"/>
              <w:jc w:val="left"/>
            </w:pPr>
            <w:r>
              <w:rPr>
                <w:rFonts w:ascii="Calibri" w:hAnsi="Calibri"/>
                <w:color w:val="202833"/>
                <w:sz w:val="18"/>
              </w:rPr>
              <w:t>Technical examples predate the FA migration and modern AIP-62 wallet standard. [2][5]-[8]</w:t>
            </w:r>
          </w:p>
        </w:tc>
      </w:tr>
      <w:tr>
        <w:trPr>
          <w:cantSplit/>
        </w:trPr>
        <w:tc>
          <w:tcPr>
            <w:tcW w:type="dxa" w:w="1600"/>
            <w:shd w:fill="FBFCFD"/>
          </w:tcPr>
          <w:p>
            <w:pPr>
              <w:spacing w:after="0" w:line="252" w:lineRule="auto"/>
              <w:jc w:val="left"/>
            </w:pPr>
            <w:r>
              <w:rPr>
                <w:rFonts w:ascii="Calibri" w:hAnsi="Calibri"/>
                <w:color w:val="202833"/>
                <w:sz w:val="18"/>
              </w:rPr>
              <w:t>iOS</w:t>
            </w:r>
          </w:p>
        </w:tc>
        <w:tc>
          <w:tcPr>
            <w:tcW w:type="dxa" w:w="3480"/>
            <w:shd w:fill="FBFCFD"/>
          </w:tcPr>
          <w:p>
            <w:pPr>
              <w:spacing w:after="0" w:line="252" w:lineRule="auto"/>
              <w:jc w:val="left"/>
            </w:pPr>
            <w:r>
              <w:rPr>
                <w:rFonts w:ascii="Calibri" w:hAnsi="Calibri"/>
                <w:color w:val="202833"/>
                <w:sz w:val="18"/>
              </w:rPr>
              <w:t>App Store listing available; version 1.2.1 dated 3 August 2023.</w:t>
            </w:r>
          </w:p>
        </w:tc>
        <w:tc>
          <w:tcPr>
            <w:tcW w:type="dxa" w:w="4280"/>
            <w:shd w:fill="FBFCFD"/>
          </w:tcPr>
          <w:p>
            <w:pPr>
              <w:spacing w:after="0" w:line="252" w:lineRule="auto"/>
              <w:jc w:val="left"/>
            </w:pPr>
            <w:r>
              <w:rPr>
                <w:rFonts w:ascii="Calibri" w:hAnsi="Calibri"/>
                <w:color w:val="202833"/>
                <w:sz w:val="18"/>
              </w:rPr>
              <w:t>The store confirms distribution but also a multi-year update gap. [10]</w:t>
            </w:r>
          </w:p>
        </w:tc>
      </w:tr>
      <w:tr>
        <w:trPr>
          <w:cantSplit/>
        </w:trPr>
        <w:tc>
          <w:tcPr>
            <w:tcW w:type="dxa" w:w="1600"/>
          </w:tcPr>
          <w:p>
            <w:pPr>
              <w:spacing w:after="0" w:line="252" w:lineRule="auto"/>
              <w:jc w:val="left"/>
            </w:pPr>
            <w:r>
              <w:rPr>
                <w:rFonts w:ascii="Calibri" w:hAnsi="Calibri"/>
                <w:color w:val="202833"/>
                <w:sz w:val="18"/>
              </w:rPr>
              <w:t>Android</w:t>
            </w:r>
          </w:p>
        </w:tc>
        <w:tc>
          <w:tcPr>
            <w:tcW w:type="dxa" w:w="3480"/>
          </w:tcPr>
          <w:p>
            <w:pPr>
              <w:spacing w:after="0" w:line="252" w:lineRule="auto"/>
              <w:jc w:val="left"/>
            </w:pPr>
            <w:r>
              <w:rPr>
                <w:rFonts w:ascii="Calibri" w:hAnsi="Calibri"/>
                <w:color w:val="202833"/>
                <w:sz w:val="18"/>
              </w:rPr>
              <w:t>Google Play listing available; 10K+ downloads; updated 3 August 2023.</w:t>
            </w:r>
          </w:p>
        </w:tc>
        <w:tc>
          <w:tcPr>
            <w:tcW w:type="dxa" w:w="4280"/>
          </w:tcPr>
          <w:p>
            <w:pPr>
              <w:spacing w:after="0" w:line="252" w:lineRule="auto"/>
              <w:jc w:val="left"/>
            </w:pPr>
            <w:r>
              <w:rPr>
                <w:rFonts w:ascii="Calibri" w:hAnsi="Calibri"/>
                <w:color w:val="202833"/>
                <w:sz w:val="18"/>
              </w:rPr>
              <w:t>Availability does not prove compatibility with later protocol and OS changes. [11]</w:t>
            </w:r>
          </w:p>
        </w:tc>
      </w:tr>
      <w:tr>
        <w:trPr>
          <w:cantSplit/>
        </w:trPr>
        <w:tc>
          <w:tcPr>
            <w:tcW w:type="dxa" w:w="1600"/>
            <w:shd w:fill="FBFCFD"/>
          </w:tcPr>
          <w:p>
            <w:pPr>
              <w:spacing w:after="0" w:line="252" w:lineRule="auto"/>
              <w:jc w:val="left"/>
            </w:pPr>
            <w:r>
              <w:rPr>
                <w:rFonts w:ascii="Calibri" w:hAnsi="Calibri"/>
                <w:color w:val="202833"/>
                <w:sz w:val="18"/>
              </w:rPr>
              <w:t>Firefox</w:t>
            </w:r>
          </w:p>
        </w:tc>
        <w:tc>
          <w:tcPr>
            <w:tcW w:type="dxa" w:w="3480"/>
            <w:shd w:fill="FBFCFD"/>
          </w:tcPr>
          <w:p>
            <w:pPr>
              <w:spacing w:after="0" w:line="252" w:lineRule="auto"/>
              <w:jc w:val="left"/>
            </w:pPr>
            <w:r>
              <w:rPr>
                <w:rFonts w:ascii="Calibri" w:hAnsi="Calibri"/>
                <w:color w:val="202833"/>
                <w:sz w:val="18"/>
              </w:rPr>
              <w:t>Version 1.7.1, last updated 27 July 2023; broad website-data permission.</w:t>
            </w:r>
          </w:p>
        </w:tc>
        <w:tc>
          <w:tcPr>
            <w:tcW w:type="dxa" w:w="4280"/>
            <w:shd w:fill="FBFCFD"/>
          </w:tcPr>
          <w:p>
            <w:pPr>
              <w:spacing w:after="0" w:line="252" w:lineRule="auto"/>
              <w:jc w:val="left"/>
            </w:pPr>
            <w:r>
              <w:rPr>
                <w:rFonts w:ascii="Calibri" w:hAnsi="Calibri"/>
                <w:color w:val="202833"/>
                <w:sz w:val="18"/>
              </w:rPr>
              <w:t>Old extension code plus high privilege deserves enhanced caution. [12]</w:t>
            </w:r>
          </w:p>
        </w:tc>
      </w:tr>
      <w:tr>
        <w:trPr>
          <w:cantSplit/>
        </w:trPr>
        <w:tc>
          <w:tcPr>
            <w:tcW w:type="dxa" w:w="1600"/>
          </w:tcPr>
          <w:p>
            <w:pPr>
              <w:spacing w:after="0" w:line="252" w:lineRule="auto"/>
              <w:jc w:val="left"/>
            </w:pPr>
            <w:r>
              <w:rPr>
                <w:rFonts w:ascii="Calibri" w:hAnsi="Calibri"/>
                <w:color w:val="202833"/>
                <w:sz w:val="18"/>
              </w:rPr>
              <w:t>Chrome</w:t>
            </w:r>
          </w:p>
        </w:tc>
        <w:tc>
          <w:tcPr>
            <w:tcW w:type="dxa" w:w="3480"/>
          </w:tcPr>
          <w:p>
            <w:pPr>
              <w:spacing w:after="0" w:line="252" w:lineRule="auto"/>
              <w:jc w:val="left"/>
            </w:pPr>
            <w:r>
              <w:rPr>
                <w:rFonts w:ascii="Calibri" w:hAnsi="Calibri"/>
                <w:color w:val="202833"/>
                <w:sz w:val="18"/>
              </w:rPr>
              <w:t>The official website links to a Chrome package.</w:t>
            </w:r>
          </w:p>
        </w:tc>
        <w:tc>
          <w:tcPr>
            <w:tcW w:type="dxa" w:w="4280"/>
          </w:tcPr>
          <w:p>
            <w:pPr>
              <w:spacing w:after="0" w:line="252" w:lineRule="auto"/>
              <w:jc w:val="left"/>
            </w:pPr>
            <w:r>
              <w:rPr>
                <w:rFonts w:ascii="Calibri" w:hAnsi="Calibri"/>
                <w:color w:val="202833"/>
                <w:sz w:val="18"/>
              </w:rPr>
              <w:t>The current version should be verified inside the Chrome Web Store before installation. [1]</w:t>
            </w:r>
          </w:p>
        </w:tc>
      </w:tr>
    </w:tbl>
    <w:p>
      <w:pPr>
        <w:widowControl/>
        <w:spacing w:after="0"/>
      </w:pPr>
    </w:p>
    <w:p>
      <w:pPr>
        <w:pStyle w:val="Heading1"/>
        <w:keepNext/>
        <w:widowControl/>
      </w:pPr>
      <w:r>
        <w:t>2. System architecture and trust boundaries</w:t>
      </w:r>
    </w:p>
    <w:p>
      <w:pPr>
        <w:widowControl/>
      </w:pPr>
      <w:r>
        <w:rPr>
          <w:rFonts w:ascii="Calibri" w:hAnsi="Calibri"/>
          <w:color w:val="202833"/>
        </w:rPr>
        <w:t>Rise sits between a human user and the Aptos network. It stores or derives signing keys, discovers the selected account, queries remote infrastructure, renders portfolio data, constructs a transaction payload, simulates expected effects, asks the user for approval, signs locally, and submits the signed transaction through a fullnode endpoint. A separate indexer may provide historical activity, token metadata, NFT relationships, and aggregated views. [1][7][13]-[17][32]</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800"/>
        <w:gridCol w:w="3220"/>
        <w:gridCol w:w="4340"/>
      </w:tblGrid>
      <w:tr>
        <w:trPr>
          <w:tblHeader w:val="true"/>
        </w:trPr>
        <w:tc>
          <w:tcPr>
            <w:tcW w:type="dxa" w:w="1800"/>
            <w:tcMar>
              <w:top w:w="80" w:type="dxa"/>
              <w:start w:w="120" w:type="dxa"/>
              <w:bottom w:w="80" w:type="dxa"/>
              <w:end w:w="120" w:type="dxa"/>
            </w:tcMar>
            <w:vAlign w:val="center"/>
            <w:shd w:fill="F2F4F7"/>
          </w:tcPr>
          <w:p>
            <w:pPr>
              <w:spacing w:after="0"/>
              <w:jc w:val="left"/>
            </w:pPr>
            <w:r>
              <w:rPr>
                <w:rFonts w:ascii="Calibri" w:hAnsi="Calibri"/>
                <w:b/>
                <w:color w:val="17365D"/>
                <w:sz w:val="19"/>
              </w:rPr>
              <w:t>Layer</w:t>
            </w:r>
          </w:p>
        </w:tc>
        <w:tc>
          <w:tcPr>
            <w:tcW w:type="dxa" w:w="3220"/>
            <w:tcMar>
              <w:top w:w="80" w:type="dxa"/>
              <w:start w:w="120" w:type="dxa"/>
              <w:bottom w:w="80" w:type="dxa"/>
              <w:end w:w="120" w:type="dxa"/>
            </w:tcMar>
            <w:vAlign w:val="center"/>
            <w:shd w:fill="F2F4F7"/>
          </w:tcPr>
          <w:p>
            <w:pPr>
              <w:spacing w:after="0"/>
              <w:jc w:val="left"/>
            </w:pPr>
            <w:r>
              <w:rPr>
                <w:rFonts w:ascii="Calibri" w:hAnsi="Calibri"/>
                <w:b/>
                <w:color w:val="17365D"/>
                <w:sz w:val="19"/>
              </w:rPr>
              <w:t>Role</w:t>
            </w:r>
          </w:p>
        </w:tc>
        <w:tc>
          <w:tcPr>
            <w:tcW w:type="dxa" w:w="4340"/>
            <w:tcMar>
              <w:top w:w="80" w:type="dxa"/>
              <w:start w:w="120" w:type="dxa"/>
              <w:bottom w:w="80" w:type="dxa"/>
              <w:end w:w="120" w:type="dxa"/>
            </w:tcMar>
            <w:vAlign w:val="center"/>
            <w:shd w:fill="F2F4F7"/>
          </w:tcPr>
          <w:p>
            <w:pPr>
              <w:spacing w:after="0"/>
              <w:jc w:val="left"/>
            </w:pPr>
            <w:r>
              <w:rPr>
                <w:rFonts w:ascii="Calibri" w:hAnsi="Calibri"/>
                <w:b/>
                <w:color w:val="17365D"/>
                <w:sz w:val="19"/>
              </w:rPr>
              <w:t>Trust and failure boundary</w:t>
            </w:r>
          </w:p>
        </w:tc>
      </w:tr>
      <w:tr>
        <w:trPr>
          <w:cantSplit/>
        </w:trPr>
        <w:tc>
          <w:tcPr>
            <w:tcW w:type="dxa" w:w="1800"/>
            <w:shd w:fill="FBFCFD"/>
          </w:tcPr>
          <w:p>
            <w:pPr>
              <w:spacing w:after="0" w:line="252" w:lineRule="auto"/>
              <w:jc w:val="left"/>
            </w:pPr>
            <w:r>
              <w:rPr>
                <w:rFonts w:ascii="Calibri" w:hAnsi="Calibri"/>
                <w:color w:val="202833"/>
                <w:sz w:val="18"/>
              </w:rPr>
              <w:t>User interface</w:t>
            </w:r>
          </w:p>
        </w:tc>
        <w:tc>
          <w:tcPr>
            <w:tcW w:type="dxa" w:w="3220"/>
            <w:shd w:fill="FBFCFD"/>
          </w:tcPr>
          <w:p>
            <w:pPr>
              <w:spacing w:after="0" w:line="252" w:lineRule="auto"/>
              <w:jc w:val="left"/>
            </w:pPr>
            <w:r>
              <w:rPr>
                <w:rFonts w:ascii="Calibri" w:hAnsi="Calibri"/>
                <w:color w:val="202833"/>
                <w:sz w:val="18"/>
              </w:rPr>
              <w:t>Shows account, network, assets, prices, dApps, simulation, and approval screen.</w:t>
            </w:r>
          </w:p>
        </w:tc>
        <w:tc>
          <w:tcPr>
            <w:tcW w:type="dxa" w:w="4340"/>
            <w:shd w:fill="FBFCFD"/>
          </w:tcPr>
          <w:p>
            <w:pPr>
              <w:spacing w:after="0" w:line="252" w:lineRule="auto"/>
              <w:jc w:val="left"/>
            </w:pPr>
            <w:r>
              <w:rPr>
                <w:rFonts w:ascii="Calibri" w:hAnsi="Calibri"/>
                <w:color w:val="202833"/>
                <w:sz w:val="18"/>
              </w:rPr>
              <w:t>A stale or compromised UI can omit details, mislabel assets, or request an unintended call.</w:t>
            </w:r>
          </w:p>
        </w:tc>
      </w:tr>
      <w:tr>
        <w:trPr>
          <w:cantSplit/>
        </w:trPr>
        <w:tc>
          <w:tcPr>
            <w:tcW w:type="dxa" w:w="1800"/>
          </w:tcPr>
          <w:p>
            <w:pPr>
              <w:spacing w:after="0" w:line="252" w:lineRule="auto"/>
              <w:jc w:val="left"/>
            </w:pPr>
            <w:r>
              <w:rPr>
                <w:rFonts w:ascii="Calibri" w:hAnsi="Calibri"/>
                <w:color w:val="202833"/>
                <w:sz w:val="18"/>
              </w:rPr>
              <w:t>Local key vault</w:t>
            </w:r>
          </w:p>
        </w:tc>
        <w:tc>
          <w:tcPr>
            <w:tcW w:type="dxa" w:w="3220"/>
          </w:tcPr>
          <w:p>
            <w:pPr>
              <w:spacing w:after="0" w:line="252" w:lineRule="auto"/>
              <w:jc w:val="left"/>
            </w:pPr>
            <w:r>
              <w:rPr>
                <w:rFonts w:ascii="Calibri" w:hAnsi="Calibri"/>
                <w:color w:val="202833"/>
                <w:sz w:val="18"/>
              </w:rPr>
              <w:t>Encrypts or derives the Ed25519 private key and produces signatures.</w:t>
            </w:r>
          </w:p>
        </w:tc>
        <w:tc>
          <w:tcPr>
            <w:tcW w:type="dxa" w:w="4340"/>
          </w:tcPr>
          <w:p>
            <w:pPr>
              <w:spacing w:after="0" w:line="252" w:lineRule="auto"/>
              <w:jc w:val="left"/>
            </w:pPr>
            <w:r>
              <w:rPr>
                <w:rFonts w:ascii="Calibri" w:hAnsi="Calibri"/>
                <w:color w:val="202833"/>
                <w:sz w:val="18"/>
              </w:rPr>
              <w:t>Seed exposure, malware, weak device security, or malicious extension code can defeat self-custody.</w:t>
            </w:r>
          </w:p>
        </w:tc>
      </w:tr>
      <w:tr>
        <w:trPr>
          <w:cantSplit/>
        </w:trPr>
        <w:tc>
          <w:tcPr>
            <w:tcW w:type="dxa" w:w="1800"/>
            <w:shd w:fill="FBFCFD"/>
          </w:tcPr>
          <w:p>
            <w:pPr>
              <w:spacing w:after="0" w:line="252" w:lineRule="auto"/>
              <w:jc w:val="left"/>
            </w:pPr>
            <w:r>
              <w:rPr>
                <w:rFonts w:ascii="Calibri" w:hAnsi="Calibri"/>
                <w:color w:val="202833"/>
                <w:sz w:val="18"/>
              </w:rPr>
              <w:t>Browser/mobile OS</w:t>
            </w:r>
          </w:p>
        </w:tc>
        <w:tc>
          <w:tcPr>
            <w:tcW w:type="dxa" w:w="3220"/>
            <w:shd w:fill="FBFCFD"/>
          </w:tcPr>
          <w:p>
            <w:pPr>
              <w:spacing w:after="0" w:line="252" w:lineRule="auto"/>
              <w:jc w:val="left"/>
            </w:pPr>
            <w:r>
              <w:rPr>
                <w:rFonts w:ascii="Calibri" w:hAnsi="Calibri"/>
                <w:color w:val="202833"/>
                <w:sz w:val="18"/>
              </w:rPr>
              <w:t>Provides storage, process isolation, updates, biometrics, and permissions.</w:t>
            </w:r>
          </w:p>
        </w:tc>
        <w:tc>
          <w:tcPr>
            <w:tcW w:type="dxa" w:w="4340"/>
            <w:shd w:fill="FBFCFD"/>
          </w:tcPr>
          <w:p>
            <w:pPr>
              <w:spacing w:after="0" w:line="252" w:lineRule="auto"/>
              <w:jc w:val="left"/>
            </w:pPr>
            <w:r>
              <w:rPr>
                <w:rFonts w:ascii="Calibri" w:hAnsi="Calibri"/>
                <w:color w:val="202833"/>
                <w:sz w:val="18"/>
              </w:rPr>
              <w:t>Compromise or insecure backups can expose secrets or manipulate clipboard and screen content.</w:t>
            </w:r>
          </w:p>
        </w:tc>
      </w:tr>
      <w:tr>
        <w:trPr>
          <w:cantSplit/>
        </w:trPr>
        <w:tc>
          <w:tcPr>
            <w:tcW w:type="dxa" w:w="1800"/>
          </w:tcPr>
          <w:p>
            <w:pPr>
              <w:spacing w:after="0" w:line="252" w:lineRule="auto"/>
              <w:jc w:val="left"/>
            </w:pPr>
            <w:r>
              <w:rPr>
                <w:rFonts w:ascii="Calibri" w:hAnsi="Calibri"/>
                <w:color w:val="202833"/>
                <w:sz w:val="18"/>
              </w:rPr>
              <w:t>Fullnode RPC</w:t>
            </w:r>
          </w:p>
        </w:tc>
        <w:tc>
          <w:tcPr>
            <w:tcW w:type="dxa" w:w="3220"/>
          </w:tcPr>
          <w:p>
            <w:pPr>
              <w:spacing w:after="0" w:line="252" w:lineRule="auto"/>
              <w:jc w:val="left"/>
            </w:pPr>
            <w:r>
              <w:rPr>
                <w:rFonts w:ascii="Calibri" w:hAnsi="Calibri"/>
                <w:color w:val="202833"/>
                <w:sz w:val="18"/>
              </w:rPr>
              <w:t>Returns chain ID, state, sequence number, gas estimates, simulation, and transaction submission.</w:t>
            </w:r>
          </w:p>
        </w:tc>
        <w:tc>
          <w:tcPr>
            <w:tcW w:type="dxa" w:w="4340"/>
          </w:tcPr>
          <w:p>
            <w:pPr>
              <w:spacing w:after="0" w:line="252" w:lineRule="auto"/>
              <w:jc w:val="left"/>
            </w:pPr>
            <w:r>
              <w:rPr>
                <w:rFonts w:ascii="Calibri" w:hAnsi="Calibri"/>
                <w:color w:val="202833"/>
                <w:sz w:val="18"/>
              </w:rPr>
              <w:t>An endpoint can be unavailable, stale, censoring, or privacy-invasive; consensus still validates signed transactions.</w:t>
            </w:r>
          </w:p>
        </w:tc>
      </w:tr>
      <w:tr>
        <w:trPr>
          <w:cantSplit/>
        </w:trPr>
        <w:tc>
          <w:tcPr>
            <w:tcW w:type="dxa" w:w="1800"/>
            <w:shd w:fill="FBFCFD"/>
          </w:tcPr>
          <w:p>
            <w:pPr>
              <w:spacing w:after="0" w:line="252" w:lineRule="auto"/>
              <w:jc w:val="left"/>
            </w:pPr>
            <w:r>
              <w:rPr>
                <w:rFonts w:ascii="Calibri" w:hAnsi="Calibri"/>
                <w:color w:val="202833"/>
                <w:sz w:val="18"/>
              </w:rPr>
              <w:t>Indexer and metadata</w:t>
            </w:r>
          </w:p>
        </w:tc>
        <w:tc>
          <w:tcPr>
            <w:tcW w:type="dxa" w:w="3220"/>
            <w:shd w:fill="FBFCFD"/>
          </w:tcPr>
          <w:p>
            <w:pPr>
              <w:spacing w:after="0" w:line="252" w:lineRule="auto"/>
              <w:jc w:val="left"/>
            </w:pPr>
            <w:r>
              <w:rPr>
                <w:rFonts w:ascii="Calibri" w:hAnsi="Calibri"/>
                <w:color w:val="202833"/>
                <w:sz w:val="18"/>
              </w:rPr>
              <w:t>Supplies history, NFTs, fungible-asset metadata, portfolio aggregation, and human-readable activity.</w:t>
            </w:r>
          </w:p>
        </w:tc>
        <w:tc>
          <w:tcPr>
            <w:tcW w:type="dxa" w:w="4340"/>
            <w:shd w:fill="FBFCFD"/>
          </w:tcPr>
          <w:p>
            <w:pPr>
              <w:spacing w:after="0" w:line="252" w:lineRule="auto"/>
              <w:jc w:val="left"/>
            </w:pPr>
            <w:r>
              <w:rPr>
                <w:rFonts w:ascii="Calibri" w:hAnsi="Calibri"/>
                <w:color w:val="202833"/>
                <w:sz w:val="18"/>
              </w:rPr>
              <w:t>Incorrect indexing or metadata can hide assets, duplicate balances, or misidentify a token.</w:t>
            </w:r>
          </w:p>
        </w:tc>
      </w:tr>
      <w:tr>
        <w:trPr>
          <w:cantSplit/>
        </w:trPr>
        <w:tc>
          <w:tcPr>
            <w:tcW w:type="dxa" w:w="1800"/>
          </w:tcPr>
          <w:p>
            <w:pPr>
              <w:spacing w:after="0" w:line="252" w:lineRule="auto"/>
              <w:jc w:val="left"/>
            </w:pPr>
            <w:r>
              <w:rPr>
                <w:rFonts w:ascii="Calibri" w:hAnsi="Calibri"/>
                <w:color w:val="202833"/>
                <w:sz w:val="18"/>
              </w:rPr>
              <w:t>dApp / Move modules</w:t>
            </w:r>
          </w:p>
        </w:tc>
        <w:tc>
          <w:tcPr>
            <w:tcW w:type="dxa" w:w="3220"/>
          </w:tcPr>
          <w:p>
            <w:pPr>
              <w:spacing w:after="0" w:line="252" w:lineRule="auto"/>
              <w:jc w:val="left"/>
            </w:pPr>
            <w:r>
              <w:rPr>
                <w:rFonts w:ascii="Calibri" w:hAnsi="Calibri"/>
                <w:color w:val="202833"/>
                <w:sz w:val="18"/>
              </w:rPr>
              <w:t>Defines the action the wallet is asked to authorize.</w:t>
            </w:r>
          </w:p>
        </w:tc>
        <w:tc>
          <w:tcPr>
            <w:tcW w:type="dxa" w:w="4340"/>
          </w:tcPr>
          <w:p>
            <w:pPr>
              <w:spacing w:after="0" w:line="252" w:lineRule="auto"/>
              <w:jc w:val="left"/>
            </w:pPr>
            <w:r>
              <w:rPr>
                <w:rFonts w:ascii="Calibri" w:hAnsi="Calibri"/>
                <w:color w:val="202833"/>
                <w:sz w:val="18"/>
              </w:rPr>
              <w:t>A valid signature can execute harmful code or transfer valuable resources if the user approves it.</w:t>
            </w:r>
          </w:p>
        </w:tc>
      </w:tr>
      <w:tr>
        <w:trPr>
          <w:cantSplit/>
        </w:trPr>
        <w:tc>
          <w:tcPr>
            <w:tcW w:type="dxa" w:w="1800"/>
            <w:shd w:fill="FBFCFD"/>
          </w:tcPr>
          <w:p>
            <w:pPr>
              <w:spacing w:after="0" w:line="252" w:lineRule="auto"/>
              <w:jc w:val="left"/>
            </w:pPr>
            <w:r>
              <w:rPr>
                <w:rFonts w:ascii="Calibri" w:hAnsi="Calibri"/>
                <w:color w:val="202833"/>
                <w:sz w:val="18"/>
              </w:rPr>
              <w:t>Swap/on-ramp/staking provider</w:t>
            </w:r>
          </w:p>
        </w:tc>
        <w:tc>
          <w:tcPr>
            <w:tcW w:type="dxa" w:w="3220"/>
            <w:shd w:fill="FBFCFD"/>
          </w:tcPr>
          <w:p>
            <w:pPr>
              <w:spacing w:after="0" w:line="252" w:lineRule="auto"/>
              <w:jc w:val="left"/>
            </w:pPr>
            <w:r>
              <w:rPr>
                <w:rFonts w:ascii="Calibri" w:hAnsi="Calibri"/>
                <w:color w:val="202833"/>
                <w:sz w:val="18"/>
              </w:rPr>
              <w:t>Routes trades, payments, delegation, or liquid staking.</w:t>
            </w:r>
          </w:p>
        </w:tc>
        <w:tc>
          <w:tcPr>
            <w:tcW w:type="dxa" w:w="4340"/>
            <w:shd w:fill="FBFCFD"/>
          </w:tcPr>
          <w:p>
            <w:pPr>
              <w:spacing w:after="0" w:line="252" w:lineRule="auto"/>
              <w:jc w:val="left"/>
            </w:pPr>
            <w:r>
              <w:rPr>
                <w:rFonts w:ascii="Calibri" w:hAnsi="Calibri"/>
                <w:color w:val="202833"/>
                <w:sz w:val="18"/>
              </w:rPr>
              <w:t>Adds smart-contract, liquidity, counterparty, jurisdiction, KYC, slippage, and service-availability risk.</w:t>
            </w:r>
          </w:p>
        </w:tc>
      </w:tr>
      <w:tr>
        <w:trPr>
          <w:cantSplit/>
        </w:trPr>
        <w:tc>
          <w:tcPr>
            <w:tcW w:type="dxa" w:w="1800"/>
          </w:tcPr>
          <w:p>
            <w:pPr>
              <w:spacing w:after="0" w:line="252" w:lineRule="auto"/>
              <w:jc w:val="left"/>
            </w:pPr>
            <w:r>
              <w:rPr>
                <w:rFonts w:ascii="Calibri" w:hAnsi="Calibri"/>
                <w:color w:val="202833"/>
                <w:sz w:val="18"/>
              </w:rPr>
              <w:t>Aptos validators</w:t>
            </w:r>
          </w:p>
        </w:tc>
        <w:tc>
          <w:tcPr>
            <w:tcW w:type="dxa" w:w="3220"/>
          </w:tcPr>
          <w:p>
            <w:pPr>
              <w:spacing w:after="0" w:line="252" w:lineRule="auto"/>
              <w:jc w:val="left"/>
            </w:pPr>
            <w:r>
              <w:rPr>
                <w:rFonts w:ascii="Calibri" w:hAnsi="Calibri"/>
                <w:color w:val="202833"/>
                <w:sz w:val="18"/>
              </w:rPr>
              <w:t>Order, execute, and commit transactions under network consensus.</w:t>
            </w:r>
          </w:p>
        </w:tc>
        <w:tc>
          <w:tcPr>
            <w:tcW w:type="dxa" w:w="4340"/>
          </w:tcPr>
          <w:p>
            <w:pPr>
              <w:spacing w:after="0" w:line="252" w:lineRule="auto"/>
              <w:jc w:val="left"/>
            </w:pPr>
            <w:r>
              <w:rPr>
                <w:rFonts w:ascii="Calibri" w:hAnsi="Calibri"/>
                <w:color w:val="202833"/>
                <w:sz w:val="18"/>
              </w:rPr>
              <w:t>Once committed, wallet support cannot unilaterally reverse the state transition.</w:t>
            </w:r>
          </w:p>
        </w:tc>
      </w:tr>
    </w:tbl>
    <w:p>
      <w:pPr>
        <w:widowControl/>
        <w:spacing w:after="0"/>
      </w:pPr>
    </w:p>
    <w:p>
      <w:pPr>
        <w:pStyle w:val="Heading2"/>
        <w:keepNext/>
        <w:widowControl/>
      </w:pPr>
      <w:r>
        <w:t>2.1 End-to-end transaction flow</w:t>
      </w:r>
    </w:p>
    <w:p>
      <w:pPr>
        <w:widowControl/>
        <w:numPr>
          <w:ilvl w:val="0"/>
          <w:numId w:val="12"/>
        </w:numPr>
      </w:pPr>
      <w:r>
        <w:rPr>
          <w:rFonts w:ascii="Calibri" w:hAnsi="Calibri"/>
          <w:b/>
          <w:color w:val="202833"/>
        </w:rPr>
        <w:t xml:space="preserve">Select context. </w:t>
      </w:r>
      <w:r>
        <w:rPr>
          <w:rFonts w:ascii="Calibri" w:hAnsi="Calibri"/>
          <w:color w:val="202833"/>
        </w:rPr>
        <w:t>The wallet chooses mainnet, testnet, devnet, or another configured endpoint and loads the account.</w:t>
      </w:r>
    </w:p>
    <w:p>
      <w:pPr>
        <w:widowControl/>
        <w:numPr>
          <w:ilvl w:val="0"/>
          <w:numId w:val="12"/>
        </w:numPr>
      </w:pPr>
      <w:r>
        <w:rPr>
          <w:rFonts w:ascii="Calibri" w:hAnsi="Calibri"/>
          <w:b/>
          <w:color w:val="202833"/>
        </w:rPr>
        <w:t xml:space="preserve">Read state. </w:t>
      </w:r>
      <w:r>
        <w:rPr>
          <w:rFonts w:ascii="Calibri" w:hAnsi="Calibri"/>
          <w:color w:val="202833"/>
        </w:rPr>
        <w:t>It queries the account sequence number, balances, asset metadata, chain ID, gas price, and relevant resources.</w:t>
      </w:r>
    </w:p>
    <w:p>
      <w:pPr>
        <w:widowControl/>
        <w:numPr>
          <w:ilvl w:val="0"/>
          <w:numId w:val="12"/>
        </w:numPr>
      </w:pPr>
      <w:r>
        <w:rPr>
          <w:rFonts w:ascii="Calibri" w:hAnsi="Calibri"/>
          <w:b/>
          <w:color w:val="202833"/>
        </w:rPr>
        <w:t xml:space="preserve">Build payload. </w:t>
      </w:r>
      <w:r>
        <w:rPr>
          <w:rFonts w:ascii="Calibri" w:hAnsi="Calibri"/>
          <w:color w:val="202833"/>
        </w:rPr>
        <w:t>The wallet or dApp specifies a Move entry function, type arguments, and serialized function arguments.</w:t>
      </w:r>
    </w:p>
    <w:p>
      <w:pPr>
        <w:widowControl/>
        <w:numPr>
          <w:ilvl w:val="0"/>
          <w:numId w:val="12"/>
        </w:numPr>
      </w:pPr>
      <w:r>
        <w:rPr>
          <w:rFonts w:ascii="Calibri" w:hAnsi="Calibri"/>
          <w:b/>
          <w:color w:val="202833"/>
        </w:rPr>
        <w:t xml:space="preserve">Set envelope. </w:t>
      </w:r>
      <w:r>
        <w:rPr>
          <w:rFonts w:ascii="Calibri" w:hAnsi="Calibri"/>
          <w:color w:val="202833"/>
        </w:rPr>
        <w:t>Sender, sequence number, maximum gas, gas-unit price, expiration time, and chain ID are added around the payload.</w:t>
      </w:r>
    </w:p>
    <w:p>
      <w:pPr>
        <w:widowControl/>
        <w:numPr>
          <w:ilvl w:val="0"/>
          <w:numId w:val="12"/>
        </w:numPr>
      </w:pPr>
      <w:r>
        <w:rPr>
          <w:rFonts w:ascii="Calibri" w:hAnsi="Calibri"/>
          <w:b/>
          <w:color w:val="202833"/>
        </w:rPr>
        <w:t xml:space="preserve">Simulate. </w:t>
      </w:r>
      <w:r>
        <w:rPr>
          <w:rFonts w:ascii="Calibri" w:hAnsi="Calibri"/>
          <w:color w:val="202833"/>
        </w:rPr>
        <w:t>A fullnode executes the proposed transaction against a recent state without committing it, returning gas and potential state changes.</w:t>
      </w:r>
    </w:p>
    <w:p>
      <w:pPr>
        <w:widowControl/>
        <w:numPr>
          <w:ilvl w:val="0"/>
          <w:numId w:val="12"/>
        </w:numPr>
      </w:pPr>
      <w:r>
        <w:rPr>
          <w:rFonts w:ascii="Calibri" w:hAnsi="Calibri"/>
          <w:b/>
          <w:color w:val="202833"/>
        </w:rPr>
        <w:t xml:space="preserve">Human review. </w:t>
      </w:r>
      <w:r>
        <w:rPr>
          <w:rFonts w:ascii="Calibri" w:hAnsi="Calibri"/>
          <w:color w:val="202833"/>
        </w:rPr>
        <w:t>Rise presents the destination, amount, application, and expected balance changes for approval.</w:t>
      </w:r>
    </w:p>
    <w:p>
      <w:pPr>
        <w:widowControl/>
        <w:numPr>
          <w:ilvl w:val="0"/>
          <w:numId w:val="12"/>
        </w:numPr>
      </w:pPr>
      <w:r>
        <w:rPr>
          <w:rFonts w:ascii="Calibri" w:hAnsi="Calibri"/>
          <w:b/>
          <w:color w:val="202833"/>
        </w:rPr>
        <w:t xml:space="preserve">Sign locally. </w:t>
      </w:r>
      <w:r>
        <w:rPr>
          <w:rFonts w:ascii="Calibri" w:hAnsi="Calibri"/>
          <w:color w:val="202833"/>
        </w:rPr>
        <w:t>The private key signs the BCS-serialized raw transaction; the secret itself should not leave the wallet.</w:t>
      </w:r>
    </w:p>
    <w:p>
      <w:pPr>
        <w:widowControl/>
        <w:numPr>
          <w:ilvl w:val="0"/>
          <w:numId w:val="12"/>
        </w:numPr>
      </w:pPr>
      <w:r>
        <w:rPr>
          <w:rFonts w:ascii="Calibri" w:hAnsi="Calibri"/>
          <w:b/>
          <w:color w:val="202833"/>
        </w:rPr>
        <w:t xml:space="preserve">Submit. </w:t>
      </w:r>
      <w:r>
        <w:rPr>
          <w:rFonts w:ascii="Calibri" w:hAnsi="Calibri"/>
          <w:color w:val="202833"/>
        </w:rPr>
        <w:t>The signed transaction is sent through RPC and enters validation, mempool, consensus, execution, and storage.</w:t>
      </w:r>
    </w:p>
    <w:p>
      <w:pPr>
        <w:widowControl/>
        <w:numPr>
          <w:ilvl w:val="0"/>
          <w:numId w:val="12"/>
        </w:numPr>
      </w:pPr>
      <w:r>
        <w:rPr>
          <w:rFonts w:ascii="Calibri" w:hAnsi="Calibri"/>
          <w:b/>
          <w:color w:val="202833"/>
        </w:rPr>
        <w:t xml:space="preserve">Reconcile. </w:t>
      </w:r>
      <w:r>
        <w:rPr>
          <w:rFonts w:ascii="Calibri" w:hAnsi="Calibri"/>
          <w:color w:val="202833"/>
        </w:rPr>
        <w:t>Rise or an indexer observes the transaction hash, version, success status, events, gas, and updated balances.</w:t>
      </w:r>
    </w:p>
    <w:tbl>
      <w:tblPr>
        <w:tblW w:type="dxa" w:w="9360"/>
        <w:jc w:val="left"/>
        <w:tblLayout w:type="fixed"/>
        <w:tblLook w:firstColumn="1" w:firstRow="1" w:lastColumn="0" w:lastRow="0" w:noHBand="0" w:noVBand="1" w:val="04A0"/>
        <w:tblInd w:w="120" w:type="dxa"/>
        <w:tblBorders>
          <w:top w:val="single" w:sz="7" w:space="0" w:color="1F4D78"/>
          <w:left w:val="single" w:sz="7" w:space="0" w:color="1F4D78"/>
          <w:bottom w:val="single" w:sz="7" w:space="0" w:color="1F4D78"/>
          <w:right w:val="single" w:sz="7" w:space="0" w:color="1F4D78"/>
          <w:insideH w:val="single" w:sz="7" w:space="0" w:color="1F4D78"/>
          <w:insideV w:val="single" w:sz="7" w:space="0" w:color="1F4D78"/>
        </w:tblBorders>
      </w:tblPr>
      <w:tblGrid>
        <w:gridCol w:w="9360"/>
      </w:tblGrid>
      <w:tr>
        <w:trPr>
          <w:cantSplit/>
        </w:trPr>
        <w:tc>
          <w:tcPr>
            <w:tcW w:type="dxa" w:w="9360"/>
            <w:tcMar>
              <w:top w:w="80" w:type="dxa"/>
              <w:start w:w="120" w:type="dxa"/>
              <w:bottom w:w="80" w:type="dxa"/>
              <w:end w:w="120" w:type="dxa"/>
            </w:tcMar>
            <w:vAlign w:val="center"/>
            <w:shd w:fill="F4F6F9"/>
          </w:tcPr>
          <w:p>
            <w:pPr>
              <w:spacing w:after="60"/>
            </w:pPr>
            <w:r>
              <w:rPr>
                <w:rFonts w:ascii="Calibri" w:hAnsi="Calibri"/>
                <w:b/>
                <w:color w:val="1F4D78"/>
              </w:rPr>
              <w:t>Architectural consequence</w:t>
            </w:r>
          </w:p>
          <w:p>
            <w:pPr>
              <w:spacing w:after="0" w:line="264" w:lineRule="auto"/>
            </w:pPr>
            <w:r>
              <w:rPr>
                <w:rFonts w:ascii="Calibri" w:hAnsi="Calibri"/>
                <w:color w:val="202833"/>
              </w:rPr>
              <w:t>Self-custody protects against a wallet provider spending without a signature, but it does not remove dependence on the wallet binary, operating system, RPC, indexer, token metadata, dApp code, or human interpretation. A technically valid transaction can still be economically disastrous.</w:t>
            </w:r>
          </w:p>
        </w:tc>
      </w:tr>
    </w:tbl>
    <w:p>
      <w:pPr>
        <w:widowControl/>
        <w:spacing w:after="0"/>
      </w:pPr>
    </w:p>
    <w:p>
      <w:pPr>
        <w:pStyle w:val="Heading1"/>
        <w:keepNext/>
        <w:widowControl/>
      </w:pPr>
      <w:r>
        <w:t>3. Aptos accounts, keys, and addresses</w:t>
      </w:r>
    </w:p>
    <w:p>
      <w:pPr>
        <w:pStyle w:val="Heading2"/>
        <w:keepNext/>
        <w:widowControl/>
      </w:pPr>
      <w:r>
        <w:t>3.1 Account address and authentication key</w:t>
      </w:r>
    </w:p>
    <w:p>
      <w:pPr>
        <w:widowControl/>
      </w:pPr>
      <w:r>
        <w:rPr>
          <w:rFonts w:ascii="Calibri" w:hAnsi="Calibri"/>
          <w:color w:val="202833"/>
        </w:rPr>
        <w:t>An Aptos account is identified by a 32-byte address normally shown as a hexadecimal string beginning with 0x. The initial address is derived from an authentication key; Aptos permits the authentication key to change through key rotation while the account address remains constant. Current Aptos supports Ed25519, Secp256k1 ECDSA, multi-key and keyless/generalized schemes, but the protocol supporting a scheme does not prove that Rise can create, import, display, or sign with it. [13]</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900"/>
        <w:gridCol w:w="3300"/>
        <w:gridCol w:w="4160"/>
      </w:tblGrid>
      <w:tr>
        <w:trPr>
          <w:tblHeader w:val="true"/>
        </w:trPr>
        <w:tc>
          <w:tcPr>
            <w:tcW w:type="dxa" w:w="1900"/>
            <w:tcMar>
              <w:top w:w="80" w:type="dxa"/>
              <w:start w:w="120" w:type="dxa"/>
              <w:bottom w:w="80" w:type="dxa"/>
              <w:end w:w="120" w:type="dxa"/>
            </w:tcMar>
            <w:vAlign w:val="center"/>
            <w:shd w:fill="F2F4F7"/>
          </w:tcPr>
          <w:p>
            <w:pPr>
              <w:spacing w:after="0"/>
              <w:jc w:val="left"/>
            </w:pPr>
            <w:r>
              <w:rPr>
                <w:rFonts w:ascii="Calibri" w:hAnsi="Calibri"/>
                <w:b/>
                <w:color w:val="17365D"/>
                <w:sz w:val="19"/>
              </w:rPr>
              <w:t>Element</w:t>
            </w:r>
          </w:p>
        </w:tc>
        <w:tc>
          <w:tcPr>
            <w:tcW w:type="dxa" w:w="3300"/>
            <w:tcMar>
              <w:top w:w="80" w:type="dxa"/>
              <w:start w:w="120" w:type="dxa"/>
              <w:bottom w:w="80" w:type="dxa"/>
              <w:end w:w="120" w:type="dxa"/>
            </w:tcMar>
            <w:vAlign w:val="center"/>
            <w:shd w:fill="F2F4F7"/>
          </w:tcPr>
          <w:p>
            <w:pPr>
              <w:spacing w:after="0"/>
              <w:jc w:val="left"/>
            </w:pPr>
            <w:r>
              <w:rPr>
                <w:rFonts w:ascii="Calibri" w:hAnsi="Calibri"/>
                <w:b/>
                <w:color w:val="17365D"/>
                <w:sz w:val="19"/>
              </w:rPr>
              <w:t>Meaning</w:t>
            </w:r>
          </w:p>
        </w:tc>
        <w:tc>
          <w:tcPr>
            <w:tcW w:type="dxa" w:w="4160"/>
            <w:tcMar>
              <w:top w:w="80" w:type="dxa"/>
              <w:start w:w="120" w:type="dxa"/>
              <w:bottom w:w="80" w:type="dxa"/>
              <w:end w:w="120" w:type="dxa"/>
            </w:tcMar>
            <w:vAlign w:val="center"/>
            <w:shd w:fill="F2F4F7"/>
          </w:tcPr>
          <w:p>
            <w:pPr>
              <w:spacing w:after="0"/>
              <w:jc w:val="left"/>
            </w:pPr>
            <w:r>
              <w:rPr>
                <w:rFonts w:ascii="Calibri" w:hAnsi="Calibri"/>
                <w:b/>
                <w:color w:val="17365D"/>
                <w:sz w:val="19"/>
              </w:rPr>
              <w:t>Rise-specific interpretation</w:t>
            </w:r>
          </w:p>
        </w:tc>
      </w:tr>
      <w:tr>
        <w:trPr>
          <w:cantSplit/>
        </w:trPr>
        <w:tc>
          <w:tcPr>
            <w:tcW w:type="dxa" w:w="1900"/>
            <w:shd w:fill="FBFCFD"/>
          </w:tcPr>
          <w:p>
            <w:pPr>
              <w:spacing w:after="0" w:line="252" w:lineRule="auto"/>
              <w:jc w:val="left"/>
            </w:pPr>
            <w:r>
              <w:rPr>
                <w:rFonts w:ascii="Calibri" w:hAnsi="Calibri"/>
                <w:color w:val="202833"/>
                <w:sz w:val="18"/>
              </w:rPr>
              <w:t>Account address</w:t>
            </w:r>
          </w:p>
        </w:tc>
        <w:tc>
          <w:tcPr>
            <w:tcW w:type="dxa" w:w="3300"/>
            <w:shd w:fill="FBFCFD"/>
          </w:tcPr>
          <w:p>
            <w:pPr>
              <w:spacing w:after="0" w:line="252" w:lineRule="auto"/>
              <w:jc w:val="left"/>
            </w:pPr>
            <w:r>
              <w:rPr>
                <w:rFonts w:ascii="Calibri" w:hAnsi="Calibri"/>
                <w:color w:val="202833"/>
                <w:sz w:val="18"/>
              </w:rPr>
              <w:t>Permanent 32-byte on-chain identifier.</w:t>
            </w:r>
          </w:p>
        </w:tc>
        <w:tc>
          <w:tcPr>
            <w:tcW w:type="dxa" w:w="4160"/>
            <w:shd w:fill="FBFCFD"/>
          </w:tcPr>
          <w:p>
            <w:pPr>
              <w:spacing w:after="0" w:line="252" w:lineRule="auto"/>
              <w:jc w:val="left"/>
            </w:pPr>
            <w:r>
              <w:rPr>
                <w:rFonts w:ascii="Calibri" w:hAnsi="Calibri"/>
                <w:color w:val="202833"/>
                <w:sz w:val="18"/>
              </w:rPr>
              <w:t>The receive address shown by Rise; verify the complete hexadecimal string or a resolved .apt name.</w:t>
            </w:r>
          </w:p>
        </w:tc>
      </w:tr>
      <w:tr>
        <w:trPr>
          <w:cantSplit/>
        </w:trPr>
        <w:tc>
          <w:tcPr>
            <w:tcW w:type="dxa" w:w="1900"/>
          </w:tcPr>
          <w:p>
            <w:pPr>
              <w:spacing w:after="0" w:line="252" w:lineRule="auto"/>
              <w:jc w:val="left"/>
            </w:pPr>
            <w:r>
              <w:rPr>
                <w:rFonts w:ascii="Calibri" w:hAnsi="Calibri"/>
                <w:color w:val="202833"/>
                <w:sz w:val="18"/>
              </w:rPr>
              <w:t>Private key</w:t>
            </w:r>
          </w:p>
        </w:tc>
        <w:tc>
          <w:tcPr>
            <w:tcW w:type="dxa" w:w="3300"/>
          </w:tcPr>
          <w:p>
            <w:pPr>
              <w:spacing w:after="0" w:line="252" w:lineRule="auto"/>
              <w:jc w:val="left"/>
            </w:pPr>
            <w:r>
              <w:rPr>
                <w:rFonts w:ascii="Calibri" w:hAnsi="Calibri"/>
                <w:color w:val="202833"/>
                <w:sz w:val="18"/>
              </w:rPr>
              <w:t>Secret authorization material.</w:t>
            </w:r>
          </w:p>
        </w:tc>
        <w:tc>
          <w:tcPr>
            <w:tcW w:type="dxa" w:w="4160"/>
          </w:tcPr>
          <w:p>
            <w:pPr>
              <w:spacing w:after="0" w:line="252" w:lineRule="auto"/>
              <w:jc w:val="left"/>
            </w:pPr>
            <w:r>
              <w:rPr>
                <w:rFonts w:ascii="Calibri" w:hAnsi="Calibri"/>
                <w:color w:val="202833"/>
                <w:sz w:val="18"/>
              </w:rPr>
              <w:t>Imported or derived locally; anyone obtaining it can sign as the account unless the on-chain authentication key has been rotated away.</w:t>
            </w:r>
          </w:p>
        </w:tc>
      </w:tr>
      <w:tr>
        <w:trPr>
          <w:cantSplit/>
        </w:trPr>
        <w:tc>
          <w:tcPr>
            <w:tcW w:type="dxa" w:w="1900"/>
            <w:shd w:fill="FBFCFD"/>
          </w:tcPr>
          <w:p>
            <w:pPr>
              <w:spacing w:after="0" w:line="252" w:lineRule="auto"/>
              <w:jc w:val="left"/>
            </w:pPr>
            <w:r>
              <w:rPr>
                <w:rFonts w:ascii="Calibri" w:hAnsi="Calibri"/>
                <w:color w:val="202833"/>
                <w:sz w:val="18"/>
              </w:rPr>
              <w:t>Public key</w:t>
            </w:r>
          </w:p>
        </w:tc>
        <w:tc>
          <w:tcPr>
            <w:tcW w:type="dxa" w:w="3300"/>
            <w:shd w:fill="FBFCFD"/>
          </w:tcPr>
          <w:p>
            <w:pPr>
              <w:spacing w:after="0" w:line="252" w:lineRule="auto"/>
              <w:jc w:val="left"/>
            </w:pPr>
            <w:r>
              <w:rPr>
                <w:rFonts w:ascii="Calibri" w:hAnsi="Calibri"/>
                <w:color w:val="202833"/>
                <w:sz w:val="18"/>
              </w:rPr>
              <w:t>Public component used in authentication.</w:t>
            </w:r>
          </w:p>
        </w:tc>
        <w:tc>
          <w:tcPr>
            <w:tcW w:type="dxa" w:w="4160"/>
            <w:shd w:fill="FBFCFD"/>
          </w:tcPr>
          <w:p>
            <w:pPr>
              <w:spacing w:after="0" w:line="252" w:lineRule="auto"/>
              <w:jc w:val="left"/>
            </w:pPr>
            <w:r>
              <w:rPr>
                <w:rFonts w:ascii="Calibri" w:hAnsi="Calibri"/>
                <w:color w:val="202833"/>
                <w:sz w:val="18"/>
              </w:rPr>
              <w:t>Exposed to dApps after connection in Rise's documented interface.</w:t>
            </w:r>
          </w:p>
        </w:tc>
      </w:tr>
      <w:tr>
        <w:trPr>
          <w:cantSplit/>
        </w:trPr>
        <w:tc>
          <w:tcPr>
            <w:tcW w:type="dxa" w:w="1900"/>
          </w:tcPr>
          <w:p>
            <w:pPr>
              <w:spacing w:after="0" w:line="252" w:lineRule="auto"/>
              <w:jc w:val="left"/>
            </w:pPr>
            <w:r>
              <w:rPr>
                <w:rFonts w:ascii="Calibri" w:hAnsi="Calibri"/>
                <w:color w:val="202833"/>
                <w:sz w:val="18"/>
              </w:rPr>
              <w:t>Authentication key</w:t>
            </w:r>
          </w:p>
        </w:tc>
        <w:tc>
          <w:tcPr>
            <w:tcW w:type="dxa" w:w="3300"/>
          </w:tcPr>
          <w:p>
            <w:pPr>
              <w:spacing w:after="0" w:line="252" w:lineRule="auto"/>
              <w:jc w:val="left"/>
            </w:pPr>
            <w:r>
              <w:rPr>
                <w:rFonts w:ascii="Calibri" w:hAnsi="Calibri"/>
                <w:color w:val="202833"/>
                <w:sz w:val="18"/>
              </w:rPr>
              <w:t>Current on-chain key hash/scheme authority.</w:t>
            </w:r>
          </w:p>
        </w:tc>
        <w:tc>
          <w:tcPr>
            <w:tcW w:type="dxa" w:w="4160"/>
          </w:tcPr>
          <w:p>
            <w:pPr>
              <w:spacing w:after="0" w:line="252" w:lineRule="auto"/>
              <w:jc w:val="left"/>
            </w:pPr>
            <w:r>
              <w:rPr>
                <w:rFonts w:ascii="Calibri" w:hAnsi="Calibri"/>
                <w:color w:val="202833"/>
                <w:sz w:val="18"/>
              </w:rPr>
              <w:t>May differ from the original account address after rotation; old wallet assumptions can break recovery or signing.</w:t>
            </w:r>
          </w:p>
        </w:tc>
      </w:tr>
      <w:tr>
        <w:trPr>
          <w:cantSplit/>
        </w:trPr>
        <w:tc>
          <w:tcPr>
            <w:tcW w:type="dxa" w:w="1900"/>
            <w:shd w:fill="FBFCFD"/>
          </w:tcPr>
          <w:p>
            <w:pPr>
              <w:spacing w:after="0" w:line="252" w:lineRule="auto"/>
              <w:jc w:val="left"/>
            </w:pPr>
            <w:r>
              <w:rPr>
                <w:rFonts w:ascii="Calibri" w:hAnsi="Calibri"/>
                <w:color w:val="202833"/>
                <w:sz w:val="18"/>
              </w:rPr>
              <w:t>Sequence number</w:t>
            </w:r>
          </w:p>
        </w:tc>
        <w:tc>
          <w:tcPr>
            <w:tcW w:type="dxa" w:w="3300"/>
            <w:shd w:fill="FBFCFD"/>
          </w:tcPr>
          <w:p>
            <w:pPr>
              <w:spacing w:after="0" w:line="252" w:lineRule="auto"/>
              <w:jc w:val="left"/>
            </w:pPr>
            <w:r>
              <w:rPr>
                <w:rFonts w:ascii="Calibri" w:hAnsi="Calibri"/>
                <w:color w:val="202833"/>
                <w:sz w:val="18"/>
              </w:rPr>
              <w:t>Counter for committed sequenced transactions.</w:t>
            </w:r>
          </w:p>
        </w:tc>
        <w:tc>
          <w:tcPr>
            <w:tcW w:type="dxa" w:w="4160"/>
            <w:shd w:fill="FBFCFD"/>
          </w:tcPr>
          <w:p>
            <w:pPr>
              <w:spacing w:after="0" w:line="252" w:lineRule="auto"/>
              <w:jc w:val="left"/>
            </w:pPr>
            <w:r>
              <w:rPr>
                <w:rFonts w:ascii="Calibri" w:hAnsi="Calibri"/>
                <w:color w:val="202833"/>
                <w:sz w:val="18"/>
              </w:rPr>
              <w:t>Every ordinary transaction must use the next valid number; pending or stale state can cause rejection.</w:t>
            </w:r>
          </w:p>
        </w:tc>
      </w:tr>
      <w:tr>
        <w:trPr>
          <w:cantSplit/>
        </w:trPr>
        <w:tc>
          <w:tcPr>
            <w:tcW w:type="dxa" w:w="1900"/>
          </w:tcPr>
          <w:p>
            <w:pPr>
              <w:spacing w:after="0" w:line="252" w:lineRule="auto"/>
              <w:jc w:val="left"/>
            </w:pPr>
            <w:r>
              <w:rPr>
                <w:rFonts w:ascii="Calibri" w:hAnsi="Calibri"/>
                <w:color w:val="202833"/>
                <w:sz w:val="18"/>
              </w:rPr>
              <w:t>Aptos Name</w:t>
            </w:r>
          </w:p>
        </w:tc>
        <w:tc>
          <w:tcPr>
            <w:tcW w:type="dxa" w:w="3300"/>
          </w:tcPr>
          <w:p>
            <w:pPr>
              <w:spacing w:after="0" w:line="252" w:lineRule="auto"/>
              <w:jc w:val="left"/>
            </w:pPr>
            <w:r>
              <w:rPr>
                <w:rFonts w:ascii="Calibri" w:hAnsi="Calibri"/>
                <w:color w:val="202833"/>
                <w:sz w:val="18"/>
              </w:rPr>
              <w:t>Human-readable .apt name associated with an address.</w:t>
            </w:r>
          </w:p>
        </w:tc>
        <w:tc>
          <w:tcPr>
            <w:tcW w:type="dxa" w:w="4160"/>
          </w:tcPr>
          <w:p>
            <w:pPr>
              <w:spacing w:after="0" w:line="252" w:lineRule="auto"/>
              <w:jc w:val="left"/>
            </w:pPr>
            <w:r>
              <w:rPr>
                <w:rFonts w:ascii="Calibri" w:hAnsi="Calibri"/>
                <w:color w:val="202833"/>
                <w:sz w:val="18"/>
              </w:rPr>
              <w:t>Convenient display and sending feature, but names can expire or resolve differently if not rechecked. [33]</w:t>
            </w:r>
          </w:p>
        </w:tc>
      </w:tr>
    </w:tbl>
    <w:p>
      <w:pPr>
        <w:widowControl/>
        <w:spacing w:after="0"/>
      </w:pPr>
    </w:p>
    <w:p>
      <w:pPr>
        <w:pStyle w:val="Heading2"/>
        <w:keepNext/>
        <w:widowControl/>
      </w:pPr>
      <w:r>
        <w:t>3.2 Recovery phrase and derivation</w:t>
      </w:r>
    </w:p>
    <w:p>
      <w:pPr>
        <w:widowControl/>
      </w:pPr>
      <w:r>
        <w:rPr>
          <w:rFonts w:ascii="Calibri" w:hAnsi="Calibri"/>
          <w:color w:val="202833"/>
        </w:rPr>
        <w:t>Rise states that a newly generated wallet uses a 12-word recovery phrase and that multiple wallet addresses can be managed from one recovery phrase. Aptos wallet standards commonly use BIP-39 mnemonics and a BIP-44 path such as m/44'/637'/0'/0'/0'. A multi-account wallet may increment the account index. Recovery success therefore depends on the exact mnemonic, derivation path, account index, key scheme, and any later on-chain key rotation. [4][10][23]</w:t>
      </w:r>
    </w:p>
    <w:p>
      <w:pPr>
        <w:widowControl/>
        <w:numPr>
          <w:ilvl w:val="0"/>
          <w:numId w:val="10"/>
        </w:numPr>
      </w:pPr>
      <w:r>
        <w:rPr>
          <w:rFonts w:ascii="Calibri" w:hAnsi="Calibri"/>
          <w:b/>
          <w:color w:val="202833"/>
        </w:rPr>
        <w:t xml:space="preserve">Mnemonic is authority. </w:t>
      </w:r>
      <w:r>
        <w:rPr>
          <w:rFonts w:ascii="Calibri" w:hAnsi="Calibri"/>
          <w:color w:val="202833"/>
        </w:rPr>
        <w:t>The recovery phrase is not a password-reset hint; it deterministically creates private keys.</w:t>
      </w:r>
    </w:p>
    <w:p>
      <w:pPr>
        <w:widowControl/>
        <w:numPr>
          <w:ilvl w:val="0"/>
          <w:numId w:val="10"/>
        </w:numPr>
      </w:pPr>
      <w:r>
        <w:rPr>
          <w:rFonts w:ascii="Calibri" w:hAnsi="Calibri"/>
          <w:b/>
          <w:color w:val="202833"/>
        </w:rPr>
        <w:t xml:space="preserve">Password is local. </w:t>
      </w:r>
      <w:r>
        <w:rPr>
          <w:rFonts w:ascii="Calibri" w:hAnsi="Calibri"/>
          <w:color w:val="202833"/>
        </w:rPr>
        <w:t>The application password normally encrypts local wallet data. It does not replace or rotate the on-chain key.</w:t>
      </w:r>
    </w:p>
    <w:p>
      <w:pPr>
        <w:widowControl/>
        <w:numPr>
          <w:ilvl w:val="0"/>
          <w:numId w:val="10"/>
        </w:numPr>
      </w:pPr>
      <w:r>
        <w:rPr>
          <w:rFonts w:ascii="Calibri" w:hAnsi="Calibri"/>
          <w:b/>
          <w:color w:val="202833"/>
        </w:rPr>
        <w:t xml:space="preserve">Multiple addresses. </w:t>
      </w:r>
      <w:r>
        <w:rPr>
          <w:rFonts w:ascii="Calibri" w:hAnsi="Calibri"/>
          <w:color w:val="202833"/>
        </w:rPr>
        <w:t>Restoring only the first derivation index can make later accounts appear missing even when the seed is correct.</w:t>
      </w:r>
    </w:p>
    <w:p>
      <w:pPr>
        <w:widowControl/>
        <w:numPr>
          <w:ilvl w:val="0"/>
          <w:numId w:val="10"/>
        </w:numPr>
      </w:pPr>
      <w:r>
        <w:rPr>
          <w:rFonts w:ascii="Calibri" w:hAnsi="Calibri"/>
          <w:b/>
          <w:color w:val="202833"/>
        </w:rPr>
        <w:t xml:space="preserve">Private-key import. </w:t>
      </w:r>
      <w:r>
        <w:rPr>
          <w:rFonts w:ascii="Calibri" w:hAnsi="Calibri"/>
          <w:color w:val="202833"/>
        </w:rPr>
        <w:t>The mobile listing states that an account can be imported directly by private key; this usually represents one account, not the complete mnemonic family. [10]</w:t>
      </w:r>
    </w:p>
    <w:p>
      <w:pPr>
        <w:widowControl/>
        <w:numPr>
          <w:ilvl w:val="0"/>
          <w:numId w:val="10"/>
        </w:numPr>
      </w:pPr>
      <w:r>
        <w:rPr>
          <w:rFonts w:ascii="Calibri" w:hAnsi="Calibri"/>
          <w:b/>
          <w:color w:val="202833"/>
        </w:rPr>
        <w:t xml:space="preserve">Key rotation. </w:t>
      </w:r>
      <w:r>
        <w:rPr>
          <w:rFonts w:ascii="Calibri" w:hAnsi="Calibri"/>
          <w:color w:val="202833"/>
        </w:rPr>
        <w:t>If the account authentication key was rotated, the original seed may no longer authorize the account even though it derives the same address.</w:t>
      </w:r>
    </w:p>
    <w:p>
      <w:pPr>
        <w:widowControl/>
        <w:numPr>
          <w:ilvl w:val="0"/>
          <w:numId w:val="10"/>
        </w:numPr>
      </w:pPr>
      <w:r>
        <w:rPr>
          <w:rFonts w:ascii="Calibri" w:hAnsi="Calibri"/>
          <w:b/>
          <w:color w:val="202833"/>
        </w:rPr>
        <w:t xml:space="preserve">Never disclose. </w:t>
      </w:r>
      <w:r>
        <w:rPr>
          <w:rFonts w:ascii="Calibri" w:hAnsi="Calibri"/>
          <w:color w:val="202833"/>
        </w:rPr>
        <w:t>No legitimate support agent, dApp, update page, or token claim needs the 12 words or raw private key.</w:t>
      </w:r>
    </w:p>
    <w:p>
      <w:pPr>
        <w:pStyle w:val="Heading2"/>
        <w:keepNext/>
        <w:widowControl/>
      </w:pPr>
      <w:r>
        <w:t>3.3 Cryptographic and account-feature limitations</w:t>
      </w:r>
    </w:p>
    <w:p>
      <w:pPr>
        <w:widowControl/>
      </w:pPr>
      <w:r>
        <w:rPr>
          <w:rFonts w:ascii="Calibri" w:hAnsi="Calibri"/>
          <w:color w:val="202833"/>
        </w:rPr>
        <w:t>Rise's 2022 integration examples expose a single public key, address, and authentication key, and use a conventional AptosCoin transfer. The public sources reviewed do not establish support for Ledger, WebAuthn, keyless accounts, current SingleKey or MultiKey variants, sponsored transactions, orderless transactions, multi-agent transactions, or native multisig. These features may exist at the Aptos protocol level but must be treated as unsupported by Rise unless the installed client and official current release notes prove otherwise. [6][7][13][22][23]</w:t>
      </w:r>
    </w:p>
    <w:p>
      <w:pPr>
        <w:pStyle w:val="Heading1"/>
        <w:keepNext/>
        <w:widowControl/>
      </w:pPr>
      <w:r>
        <w:t>4. Platforms, installation, and local operation</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550"/>
        <w:gridCol w:w="3860"/>
        <w:gridCol w:w="3950"/>
      </w:tblGrid>
      <w:tr>
        <w:trPr>
          <w:tblHeader w:val="true"/>
        </w:trPr>
        <w:tc>
          <w:tcPr>
            <w:tcW w:type="dxa" w:w="1550"/>
            <w:tcMar>
              <w:top w:w="80" w:type="dxa"/>
              <w:start w:w="120" w:type="dxa"/>
              <w:bottom w:w="80" w:type="dxa"/>
              <w:end w:w="120" w:type="dxa"/>
            </w:tcMar>
            <w:vAlign w:val="center"/>
            <w:shd w:fill="F2F4F7"/>
          </w:tcPr>
          <w:p>
            <w:pPr>
              <w:spacing w:after="0"/>
              <w:jc w:val="left"/>
            </w:pPr>
            <w:r>
              <w:rPr>
                <w:rFonts w:ascii="Calibri" w:hAnsi="Calibri"/>
                <w:b/>
                <w:color w:val="17365D"/>
                <w:sz w:val="19"/>
              </w:rPr>
              <w:t>Platform</w:t>
            </w:r>
          </w:p>
        </w:tc>
        <w:tc>
          <w:tcPr>
            <w:tcW w:type="dxa" w:w="3860"/>
            <w:tcMar>
              <w:top w:w="80" w:type="dxa"/>
              <w:start w:w="120" w:type="dxa"/>
              <w:bottom w:w="80" w:type="dxa"/>
              <w:end w:w="120" w:type="dxa"/>
            </w:tcMar>
            <w:vAlign w:val="center"/>
            <w:shd w:fill="F2F4F7"/>
          </w:tcPr>
          <w:p>
            <w:pPr>
              <w:spacing w:after="0"/>
              <w:jc w:val="left"/>
            </w:pPr>
            <w:r>
              <w:rPr>
                <w:rFonts w:ascii="Calibri" w:hAnsi="Calibri"/>
                <w:b/>
                <w:color w:val="17365D"/>
                <w:sz w:val="19"/>
              </w:rPr>
              <w:t>Published capability</w:t>
            </w:r>
          </w:p>
        </w:tc>
        <w:tc>
          <w:tcPr>
            <w:tcW w:type="dxa" w:w="3950"/>
            <w:tcMar>
              <w:top w:w="80" w:type="dxa"/>
              <w:start w:w="120" w:type="dxa"/>
              <w:bottom w:w="80" w:type="dxa"/>
              <w:end w:w="120" w:type="dxa"/>
            </w:tcMar>
            <w:vAlign w:val="center"/>
            <w:shd w:fill="F2F4F7"/>
          </w:tcPr>
          <w:p>
            <w:pPr>
              <w:spacing w:after="0"/>
              <w:jc w:val="left"/>
            </w:pPr>
            <w:r>
              <w:rPr>
                <w:rFonts w:ascii="Calibri" w:hAnsi="Calibri"/>
                <w:b/>
                <w:color w:val="17365D"/>
                <w:sz w:val="19"/>
              </w:rPr>
              <w:t>Operational caution</w:t>
            </w:r>
          </w:p>
        </w:tc>
      </w:tr>
      <w:tr>
        <w:trPr>
          <w:cantSplit/>
        </w:trPr>
        <w:tc>
          <w:tcPr>
            <w:tcW w:type="dxa" w:w="1550"/>
            <w:shd w:fill="FBFCFD"/>
          </w:tcPr>
          <w:p>
            <w:pPr>
              <w:spacing w:after="0" w:line="252" w:lineRule="auto"/>
              <w:jc w:val="left"/>
            </w:pPr>
            <w:r>
              <w:rPr>
                <w:rFonts w:ascii="Calibri" w:hAnsi="Calibri"/>
                <w:color w:val="202833"/>
                <w:sz w:val="18"/>
              </w:rPr>
              <w:t>Browser extension</w:t>
            </w:r>
          </w:p>
        </w:tc>
        <w:tc>
          <w:tcPr>
            <w:tcW w:type="dxa" w:w="3860"/>
            <w:shd w:fill="FBFCFD"/>
          </w:tcPr>
          <w:p>
            <w:pPr>
              <w:spacing w:after="0" w:line="252" w:lineRule="auto"/>
              <w:jc w:val="left"/>
            </w:pPr>
            <w:r>
              <w:rPr>
                <w:rFonts w:ascii="Calibri" w:hAnsi="Calibri"/>
                <w:color w:val="202833"/>
                <w:sz w:val="18"/>
              </w:rPr>
              <w:t>dApp connection, signing, portfolio, activity, swaps, NFTs, notifications, full-screen mode.</w:t>
            </w:r>
          </w:p>
        </w:tc>
        <w:tc>
          <w:tcPr>
            <w:tcW w:type="dxa" w:w="3950"/>
            <w:shd w:fill="FBFCFD"/>
          </w:tcPr>
          <w:p>
            <w:pPr>
              <w:spacing w:after="0" w:line="252" w:lineRule="auto"/>
              <w:jc w:val="left"/>
            </w:pPr>
            <w:r>
              <w:rPr>
                <w:rFonts w:ascii="Calibri" w:hAnsi="Calibri"/>
                <w:color w:val="202833"/>
                <w:sz w:val="18"/>
              </w:rPr>
              <w:t>Extension permissions can expose every site visited; isolate the wallet in a dedicated browser profile. [1][12]</w:t>
            </w:r>
          </w:p>
        </w:tc>
      </w:tr>
      <w:tr>
        <w:trPr>
          <w:cantSplit/>
        </w:trPr>
        <w:tc>
          <w:tcPr>
            <w:tcW w:type="dxa" w:w="1550"/>
          </w:tcPr>
          <w:p>
            <w:pPr>
              <w:spacing w:after="0" w:line="252" w:lineRule="auto"/>
              <w:jc w:val="left"/>
            </w:pPr>
            <w:r>
              <w:rPr>
                <w:rFonts w:ascii="Calibri" w:hAnsi="Calibri"/>
                <w:color w:val="202833"/>
                <w:sz w:val="18"/>
              </w:rPr>
              <w:t>iPhone</w:t>
            </w:r>
          </w:p>
        </w:tc>
        <w:tc>
          <w:tcPr>
            <w:tcW w:type="dxa" w:w="3860"/>
          </w:tcPr>
          <w:p>
            <w:pPr>
              <w:spacing w:after="0" w:line="252" w:lineRule="auto"/>
              <w:jc w:val="left"/>
            </w:pPr>
            <w:r>
              <w:rPr>
                <w:rFonts w:ascii="Calibri" w:hAnsi="Calibri"/>
                <w:color w:val="202833"/>
                <w:sz w:val="18"/>
              </w:rPr>
              <w:t>In-app browser, token portfolio, prices, multiple addresses, seed/private-key import, push notifications.</w:t>
            </w:r>
          </w:p>
        </w:tc>
        <w:tc>
          <w:tcPr>
            <w:tcW w:type="dxa" w:w="3950"/>
          </w:tcPr>
          <w:p>
            <w:pPr>
              <w:spacing w:after="0" w:line="252" w:lineRule="auto"/>
              <w:jc w:val="left"/>
            </w:pPr>
            <w:r>
              <w:rPr>
                <w:rFonts w:ascii="Calibri" w:hAnsi="Calibri"/>
                <w:color w:val="202833"/>
                <w:sz w:val="18"/>
              </w:rPr>
              <w:t>Version 1.2.1 is dated August 2023 and the listing is “Designed for iPhone.” [10]</w:t>
            </w:r>
          </w:p>
        </w:tc>
      </w:tr>
      <w:tr>
        <w:trPr>
          <w:cantSplit/>
        </w:trPr>
        <w:tc>
          <w:tcPr>
            <w:tcW w:type="dxa" w:w="1550"/>
            <w:shd w:fill="FBFCFD"/>
          </w:tcPr>
          <w:p>
            <w:pPr>
              <w:spacing w:after="0" w:line="252" w:lineRule="auto"/>
              <w:jc w:val="left"/>
            </w:pPr>
            <w:r>
              <w:rPr>
                <w:rFonts w:ascii="Calibri" w:hAnsi="Calibri"/>
                <w:color w:val="202833"/>
                <w:sz w:val="18"/>
              </w:rPr>
              <w:t>Android</w:t>
            </w:r>
          </w:p>
        </w:tc>
        <w:tc>
          <w:tcPr>
            <w:tcW w:type="dxa" w:w="3860"/>
            <w:shd w:fill="FBFCFD"/>
          </w:tcPr>
          <w:p>
            <w:pPr>
              <w:spacing w:after="0" w:line="252" w:lineRule="auto"/>
              <w:jc w:val="left"/>
            </w:pPr>
            <w:r>
              <w:rPr>
                <w:rFonts w:ascii="Calibri" w:hAnsi="Calibri"/>
                <w:color w:val="202833"/>
                <w:sz w:val="18"/>
              </w:rPr>
              <w:t>Comparable mobile feature set with 10K+ downloads.</w:t>
            </w:r>
          </w:p>
        </w:tc>
        <w:tc>
          <w:tcPr>
            <w:tcW w:type="dxa" w:w="3950"/>
            <w:shd w:fill="FBFCFD"/>
          </w:tcPr>
          <w:p>
            <w:pPr>
              <w:spacing w:after="0" w:line="252" w:lineRule="auto"/>
              <w:jc w:val="left"/>
            </w:pPr>
            <w:r>
              <w:rPr>
                <w:rFonts w:ascii="Calibri" w:hAnsi="Calibri"/>
                <w:color w:val="202833"/>
                <w:sz w:val="18"/>
              </w:rPr>
              <w:t>Last public update is August 2023; verify compatibility and avoid third-party APK mirrors. [11]</w:t>
            </w:r>
          </w:p>
        </w:tc>
      </w:tr>
      <w:tr>
        <w:trPr>
          <w:cantSplit/>
        </w:trPr>
        <w:tc>
          <w:tcPr>
            <w:tcW w:type="dxa" w:w="1550"/>
          </w:tcPr>
          <w:p>
            <w:pPr>
              <w:spacing w:after="0" w:line="252" w:lineRule="auto"/>
              <w:jc w:val="left"/>
            </w:pPr>
            <w:r>
              <w:rPr>
                <w:rFonts w:ascii="Calibri" w:hAnsi="Calibri"/>
                <w:color w:val="202833"/>
                <w:sz w:val="18"/>
              </w:rPr>
              <w:t>Firefox</w:t>
            </w:r>
          </w:p>
        </w:tc>
        <w:tc>
          <w:tcPr>
            <w:tcW w:type="dxa" w:w="3860"/>
          </w:tcPr>
          <w:p>
            <w:pPr>
              <w:spacing w:after="0" w:line="252" w:lineRule="auto"/>
              <w:jc w:val="left"/>
            </w:pPr>
            <w:r>
              <w:rPr>
                <w:rFonts w:ascii="Calibri" w:hAnsi="Calibri"/>
                <w:color w:val="202833"/>
                <w:sz w:val="18"/>
              </w:rPr>
              <w:t>Version 1.7.1 with access to browser tabs and data for all websites.</w:t>
            </w:r>
          </w:p>
        </w:tc>
        <w:tc>
          <w:tcPr>
            <w:tcW w:type="dxa" w:w="3950"/>
          </w:tcPr>
          <w:p>
            <w:pPr>
              <w:spacing w:after="0" w:line="252" w:lineRule="auto"/>
              <w:jc w:val="left"/>
            </w:pPr>
            <w:r>
              <w:rPr>
                <w:rFonts w:ascii="Calibri" w:hAnsi="Calibri"/>
                <w:color w:val="202833"/>
                <w:sz w:val="18"/>
              </w:rPr>
              <w:t>High-privilege extension plus old code requires a conservative threat model. [12]</w:t>
            </w:r>
          </w:p>
        </w:tc>
      </w:tr>
      <w:tr>
        <w:trPr>
          <w:cantSplit/>
        </w:trPr>
        <w:tc>
          <w:tcPr>
            <w:tcW w:type="dxa" w:w="1550"/>
            <w:shd w:fill="FBFCFD"/>
          </w:tcPr>
          <w:p>
            <w:pPr>
              <w:spacing w:after="0" w:line="252" w:lineRule="auto"/>
              <w:jc w:val="left"/>
            </w:pPr>
            <w:r>
              <w:rPr>
                <w:rFonts w:ascii="Calibri" w:hAnsi="Calibri"/>
                <w:color w:val="202833"/>
                <w:sz w:val="18"/>
              </w:rPr>
              <w:t>Full-screen extension view</w:t>
            </w:r>
          </w:p>
        </w:tc>
        <w:tc>
          <w:tcPr>
            <w:tcW w:type="dxa" w:w="3860"/>
            <w:shd w:fill="FBFCFD"/>
          </w:tcPr>
          <w:p>
            <w:pPr>
              <w:spacing w:after="0" w:line="252" w:lineRule="auto"/>
              <w:jc w:val="left"/>
            </w:pPr>
            <w:r>
              <w:rPr>
                <w:rFonts w:ascii="Calibri" w:hAnsi="Calibri"/>
                <w:color w:val="202833"/>
                <w:sz w:val="18"/>
              </w:rPr>
              <w:t>Larger portfolio and transaction workspace.</w:t>
            </w:r>
          </w:p>
        </w:tc>
        <w:tc>
          <w:tcPr>
            <w:tcW w:type="dxa" w:w="3950"/>
            <w:shd w:fill="FBFCFD"/>
          </w:tcPr>
          <w:p>
            <w:pPr>
              <w:spacing w:after="0" w:line="252" w:lineRule="auto"/>
              <w:jc w:val="left"/>
            </w:pPr>
            <w:r>
              <w:rPr>
                <w:rFonts w:ascii="Calibri" w:hAnsi="Calibri"/>
                <w:color w:val="202833"/>
                <w:sz w:val="18"/>
              </w:rPr>
              <w:t>A display convenience; it does not change custody or network validation. [1]</w:t>
            </w:r>
          </w:p>
        </w:tc>
      </w:tr>
    </w:tbl>
    <w:p>
      <w:pPr>
        <w:widowControl/>
        <w:spacing w:after="0"/>
      </w:pPr>
    </w:p>
    <w:p>
      <w:pPr>
        <w:pStyle w:val="Heading2"/>
        <w:keepNext/>
        <w:widowControl/>
      </w:pPr>
      <w:r>
        <w:t>4.1 Safe installation procedure</w:t>
      </w:r>
    </w:p>
    <w:p>
      <w:pPr>
        <w:widowControl/>
        <w:numPr>
          <w:ilvl w:val="0"/>
          <w:numId w:val="13"/>
        </w:numPr>
      </w:pPr>
      <w:r>
        <w:rPr>
          <w:rFonts w:ascii="Calibri" w:hAnsi="Calibri"/>
          <w:b/>
          <w:color w:val="202833"/>
        </w:rPr>
        <w:t xml:space="preserve">Start at the canonical site. </w:t>
      </w:r>
      <w:r>
        <w:rPr>
          <w:rFonts w:ascii="Calibri" w:hAnsi="Calibri"/>
          <w:color w:val="202833"/>
        </w:rPr>
        <w:t>Navigate manually to risewallet.io and use its store links; do not install from an advertisement or message.</w:t>
      </w:r>
    </w:p>
    <w:p>
      <w:pPr>
        <w:widowControl/>
        <w:numPr>
          <w:ilvl w:val="0"/>
          <w:numId w:val="13"/>
        </w:numPr>
      </w:pPr>
      <w:r>
        <w:rPr>
          <w:rFonts w:ascii="Calibri" w:hAnsi="Calibri"/>
          <w:b/>
          <w:color w:val="202833"/>
        </w:rPr>
        <w:t xml:space="preserve">Verify publisher and package. </w:t>
      </w:r>
      <w:r>
        <w:rPr>
          <w:rFonts w:ascii="Calibri" w:hAnsi="Calibri"/>
          <w:color w:val="202833"/>
        </w:rPr>
        <w:t>Confirm Solrise Research LTD or the official Rise/Solflare publisher, package name, store history, permissions, version, and reviews.</w:t>
      </w:r>
    </w:p>
    <w:p>
      <w:pPr>
        <w:widowControl/>
        <w:numPr>
          <w:ilvl w:val="0"/>
          <w:numId w:val="13"/>
        </w:numPr>
      </w:pPr>
      <w:r>
        <w:rPr>
          <w:rFonts w:ascii="Calibri" w:hAnsi="Calibri"/>
          <w:b/>
          <w:color w:val="202833"/>
        </w:rPr>
        <w:t xml:space="preserve">Use a clean environment. </w:t>
      </w:r>
      <w:r>
        <w:rPr>
          <w:rFonts w:ascii="Calibri" w:hAnsi="Calibri"/>
          <w:color w:val="202833"/>
        </w:rPr>
        <w:t>Patch the OS and browser, remove suspicious extensions, and create a dedicated browser profile for wallet activity.</w:t>
      </w:r>
    </w:p>
    <w:p>
      <w:pPr>
        <w:widowControl/>
        <w:numPr>
          <w:ilvl w:val="0"/>
          <w:numId w:val="13"/>
        </w:numPr>
      </w:pPr>
      <w:r>
        <w:rPr>
          <w:rFonts w:ascii="Calibri" w:hAnsi="Calibri"/>
          <w:b/>
          <w:color w:val="202833"/>
        </w:rPr>
        <w:t xml:space="preserve">Create or import offline-aware. </w:t>
      </w:r>
      <w:r>
        <w:rPr>
          <w:rFonts w:ascii="Calibri" w:hAnsi="Calibri"/>
          <w:color w:val="202833"/>
        </w:rPr>
        <w:t>Prevent screen sharing and recording; never expose the mnemonic to cloud clipboard, notes, photos, or chat.</w:t>
      </w:r>
    </w:p>
    <w:p>
      <w:pPr>
        <w:widowControl/>
        <w:numPr>
          <w:ilvl w:val="0"/>
          <w:numId w:val="13"/>
        </w:numPr>
      </w:pPr>
      <w:r>
        <w:rPr>
          <w:rFonts w:ascii="Calibri" w:hAnsi="Calibri"/>
          <w:b/>
          <w:color w:val="202833"/>
        </w:rPr>
        <w:t xml:space="preserve">Record the account. </w:t>
      </w:r>
      <w:r>
        <w:rPr>
          <w:rFonts w:ascii="Calibri" w:hAnsi="Calibri"/>
          <w:color w:val="202833"/>
        </w:rPr>
        <w:t>Write down the full primary address and any additional derived addresses before funding.</w:t>
      </w:r>
    </w:p>
    <w:p>
      <w:pPr>
        <w:widowControl/>
        <w:numPr>
          <w:ilvl w:val="0"/>
          <w:numId w:val="13"/>
        </w:numPr>
      </w:pPr>
      <w:r>
        <w:rPr>
          <w:rFonts w:ascii="Calibri" w:hAnsi="Calibri"/>
          <w:b/>
          <w:color w:val="202833"/>
        </w:rPr>
        <w:t xml:space="preserve">Test recovery. </w:t>
      </w:r>
      <w:r>
        <w:rPr>
          <w:rFonts w:ascii="Calibri" w:hAnsi="Calibri"/>
          <w:color w:val="202833"/>
        </w:rPr>
        <w:t>With no meaningful funds, prove that the backup restores the expected address and account index in an authentic current Aptos wallet.</w:t>
      </w:r>
    </w:p>
    <w:p>
      <w:pPr>
        <w:widowControl/>
        <w:numPr>
          <w:ilvl w:val="0"/>
          <w:numId w:val="13"/>
        </w:numPr>
      </w:pPr>
      <w:r>
        <w:rPr>
          <w:rFonts w:ascii="Calibri" w:hAnsi="Calibri"/>
          <w:b/>
          <w:color w:val="202833"/>
        </w:rPr>
        <w:t xml:space="preserve">Fund minimally. </w:t>
      </w:r>
      <w:r>
        <w:rPr>
          <w:rFonts w:ascii="Calibri" w:hAnsi="Calibri"/>
          <w:color w:val="202833"/>
        </w:rPr>
        <w:t>Send a small amount of APT first, verify arrival independently, and test a small outbound transfer.</w:t>
      </w:r>
    </w:p>
    <w:p>
      <w:pPr>
        <w:widowControl/>
        <w:numPr>
          <w:ilvl w:val="0"/>
          <w:numId w:val="13"/>
        </w:numPr>
      </w:pPr>
      <w:r>
        <w:rPr>
          <w:rFonts w:ascii="Calibri" w:hAnsi="Calibri"/>
          <w:b/>
          <w:color w:val="202833"/>
        </w:rPr>
        <w:t xml:space="preserve">Increase only after validation. </w:t>
      </w:r>
      <w:r>
        <w:rPr>
          <w:rFonts w:ascii="Calibri" w:hAnsi="Calibri"/>
          <w:color w:val="202833"/>
        </w:rPr>
        <w:t>Confirm current FA balances, dApp connectivity, transaction decoding, and recovery before using larger values.</w:t>
      </w:r>
    </w:p>
    <w:p>
      <w:pPr>
        <w:pStyle w:val="Heading1"/>
        <w:keepNext/>
        <w:pageBreakBefore/>
        <w:widowControl/>
      </w:pPr>
      <w:r>
        <w:t>5. Supported cryptocurrencies, tokens, and digital assets</w:t>
      </w:r>
    </w:p>
    <w:tbl>
      <w:tblPr>
        <w:tblW w:type="dxa" w:w="9360"/>
        <w:jc w:val="left"/>
        <w:tblLayout w:type="fixed"/>
        <w:tblLook w:firstColumn="1" w:firstRow="1" w:lastColumn="0" w:lastRow="0" w:noHBand="0" w:noVBand="1" w:val="04A0"/>
        <w:tblInd w:w="120" w:type="dxa"/>
        <w:tblBorders>
          <w:top w:val="single" w:sz="7" w:space="0" w:color="2E74B5"/>
          <w:left w:val="single" w:sz="7" w:space="0" w:color="2E74B5"/>
          <w:bottom w:val="single" w:sz="7" w:space="0" w:color="2E74B5"/>
          <w:right w:val="single" w:sz="7" w:space="0" w:color="2E74B5"/>
          <w:insideH w:val="single" w:sz="7" w:space="0" w:color="2E74B5"/>
          <w:insideV w:val="single" w:sz="7" w:space="0" w:color="2E74B5"/>
        </w:tblBorders>
      </w:tblPr>
      <w:tblGrid>
        <w:gridCol w:w="9360"/>
      </w:tblGrid>
      <w:tr>
        <w:trPr>
          <w:cantSplit/>
        </w:trPr>
        <w:tc>
          <w:tcPr>
            <w:tcW w:type="dxa" w:w="9360"/>
            <w:tcMar>
              <w:top w:w="80" w:type="dxa"/>
              <w:start w:w="120" w:type="dxa"/>
              <w:bottom w:w="80" w:type="dxa"/>
              <w:end w:w="120" w:type="dxa"/>
            </w:tcMar>
            <w:vAlign w:val="center"/>
            <w:shd w:fill="E8EEF5"/>
          </w:tcPr>
          <w:p>
            <w:pPr>
              <w:spacing w:after="60"/>
            </w:pPr>
            <w:r>
              <w:rPr>
                <w:rFonts w:ascii="Calibri" w:hAnsi="Calibri"/>
                <w:b/>
                <w:color w:val="2E74B5"/>
              </w:rPr>
              <w:t>Direct answer</w:t>
            </w:r>
          </w:p>
          <w:p>
            <w:pPr>
              <w:spacing w:after="0" w:line="264" w:lineRule="auto"/>
            </w:pPr>
            <w:r>
              <w:rPr>
                <w:rFonts w:ascii="Calibri" w:hAnsi="Calibri"/>
                <w:color w:val="202833"/>
              </w:rPr>
              <w:t>Rise works with APT and assets that exist on the Aptos blockchain and that the installed Rise version can recognize and operate. It does not natively hold BTC on Bitcoin, ETH on Ethereum, SOL on Solana, BNB on BNB Chain, ADA on Cardano, DOT on Polkadot, or other external-chain coins. Those symbols can appear only as separate Aptos representations, if such assets were issued or bridged to Aptos and the wallet supports their standard.</w:t>
            </w:r>
          </w:p>
        </w:tc>
      </w:tr>
    </w:tbl>
    <w:p>
      <w:pPr>
        <w:widowControl/>
        <w:spacing w:after="0"/>
      </w:pPr>
    </w:p>
    <w:p>
      <w:pPr>
        <w:pStyle w:val="Heading2"/>
        <w:keepNext/>
        <w:widowControl/>
      </w:pPr>
      <w:r>
        <w:t>5.1 Explicit asset-support matrix</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2100"/>
        <w:gridCol w:w="2450"/>
        <w:gridCol w:w="4810"/>
      </w:tblGrid>
      <w:tr>
        <w:trPr>
          <w:tblHeader w:val="true"/>
        </w:trPr>
        <w:tc>
          <w:tcPr>
            <w:tcW w:type="dxa" w:w="2100"/>
            <w:tcMar>
              <w:top w:w="80" w:type="dxa"/>
              <w:start w:w="120" w:type="dxa"/>
              <w:bottom w:w="80" w:type="dxa"/>
              <w:end w:w="120" w:type="dxa"/>
            </w:tcMar>
            <w:vAlign w:val="center"/>
            <w:shd w:fill="F2F4F7"/>
          </w:tcPr>
          <w:p>
            <w:pPr>
              <w:spacing w:after="0"/>
              <w:jc w:val="left"/>
            </w:pPr>
            <w:r>
              <w:rPr>
                <w:rFonts w:ascii="Calibri" w:hAnsi="Calibri"/>
                <w:b/>
                <w:color w:val="17365D"/>
                <w:sz w:val="19"/>
              </w:rPr>
              <w:t>Asset or category</w:t>
            </w:r>
          </w:p>
        </w:tc>
        <w:tc>
          <w:tcPr>
            <w:tcW w:type="dxa" w:w="2450"/>
            <w:tcMar>
              <w:top w:w="80" w:type="dxa"/>
              <w:start w:w="120" w:type="dxa"/>
              <w:bottom w:w="80" w:type="dxa"/>
              <w:end w:w="120" w:type="dxa"/>
            </w:tcMar>
            <w:vAlign w:val="center"/>
            <w:shd w:fill="F2F4F7"/>
          </w:tcPr>
          <w:p>
            <w:pPr>
              <w:spacing w:after="0"/>
              <w:jc w:val="left"/>
            </w:pPr>
            <w:r>
              <w:rPr>
                <w:rFonts w:ascii="Calibri" w:hAnsi="Calibri"/>
                <w:b/>
                <w:color w:val="17365D"/>
                <w:sz w:val="19"/>
              </w:rPr>
              <w:t>Status in Rise</w:t>
            </w:r>
          </w:p>
        </w:tc>
        <w:tc>
          <w:tcPr>
            <w:tcW w:type="dxa" w:w="4810"/>
            <w:tcMar>
              <w:top w:w="80" w:type="dxa"/>
              <w:start w:w="120" w:type="dxa"/>
              <w:bottom w:w="80" w:type="dxa"/>
              <w:end w:w="120" w:type="dxa"/>
            </w:tcMar>
            <w:vAlign w:val="center"/>
            <w:shd w:fill="F2F4F7"/>
          </w:tcPr>
          <w:p>
            <w:pPr>
              <w:spacing w:after="0"/>
              <w:jc w:val="left"/>
            </w:pPr>
            <w:r>
              <w:rPr>
                <w:rFonts w:ascii="Calibri" w:hAnsi="Calibri"/>
                <w:b/>
                <w:color w:val="17365D"/>
                <w:sz w:val="19"/>
              </w:rPr>
              <w:t>Precise interpretation</w:t>
            </w:r>
          </w:p>
        </w:tc>
      </w:tr>
      <w:tr>
        <w:trPr>
          <w:cantSplit/>
        </w:trPr>
        <w:tc>
          <w:tcPr>
            <w:tcW w:type="dxa" w:w="2100"/>
            <w:shd w:fill="FBFCFD"/>
          </w:tcPr>
          <w:p>
            <w:pPr>
              <w:spacing w:after="0" w:line="252" w:lineRule="auto"/>
              <w:jc w:val="left"/>
            </w:pPr>
            <w:r>
              <w:rPr>
                <w:rFonts w:ascii="Calibri" w:hAnsi="Calibri"/>
                <w:color w:val="202833"/>
                <w:sz w:val="18"/>
              </w:rPr>
              <w:t>APT</w:t>
            </w:r>
          </w:p>
        </w:tc>
        <w:tc>
          <w:tcPr>
            <w:tcW w:type="dxa" w:w="2450"/>
            <w:shd w:fill="FBFCFD"/>
          </w:tcPr>
          <w:p>
            <w:pPr>
              <w:spacing w:after="0" w:line="252" w:lineRule="auto"/>
              <w:jc w:val="left"/>
            </w:pPr>
            <w:r>
              <w:rPr>
                <w:rFonts w:ascii="Calibri" w:hAnsi="Calibri"/>
                <w:color w:val="202833"/>
                <w:sz w:val="18"/>
              </w:rPr>
              <w:t>Core / explicit</w:t>
            </w:r>
          </w:p>
        </w:tc>
        <w:tc>
          <w:tcPr>
            <w:tcW w:type="dxa" w:w="4810"/>
            <w:shd w:fill="FBFCFD"/>
          </w:tcPr>
          <w:p>
            <w:pPr>
              <w:spacing w:after="0" w:line="252" w:lineRule="auto"/>
              <w:jc w:val="left"/>
            </w:pPr>
            <w:r>
              <w:rPr>
                <w:rFonts w:ascii="Calibri" w:hAnsi="Calibri"/>
                <w:color w:val="202833"/>
                <w:sz w:val="18"/>
              </w:rPr>
              <w:t>Native Aptos cryptocurrency. Used for ordinary transaction gas and the wallet's core send, receive, swap, buy, and staking claims. [1][16]</w:t>
            </w:r>
          </w:p>
        </w:tc>
      </w:tr>
      <w:tr>
        <w:trPr>
          <w:cantSplit/>
        </w:trPr>
        <w:tc>
          <w:tcPr>
            <w:tcW w:type="dxa" w:w="2100"/>
          </w:tcPr>
          <w:p>
            <w:pPr>
              <w:spacing w:after="0" w:line="252" w:lineRule="auto"/>
              <w:jc w:val="left"/>
            </w:pPr>
            <w:r>
              <w:rPr>
                <w:rFonts w:ascii="Calibri" w:hAnsi="Calibri"/>
                <w:color w:val="202833"/>
                <w:sz w:val="18"/>
              </w:rPr>
              <w:t>Native USDC on Aptos</w:t>
            </w:r>
          </w:p>
        </w:tc>
        <w:tc>
          <w:tcPr>
            <w:tcW w:type="dxa" w:w="2450"/>
          </w:tcPr>
          <w:p>
            <w:pPr>
              <w:spacing w:after="0" w:line="252" w:lineRule="auto"/>
              <w:jc w:val="left"/>
            </w:pPr>
            <w:r>
              <w:rPr>
                <w:rFonts w:ascii="Calibri" w:hAnsi="Calibri"/>
                <w:color w:val="202833"/>
                <w:sz w:val="18"/>
              </w:rPr>
              <w:t>Standards-based; verify current build</w:t>
            </w:r>
          </w:p>
        </w:tc>
        <w:tc>
          <w:tcPr>
            <w:tcW w:type="dxa" w:w="4810"/>
          </w:tcPr>
          <w:p>
            <w:pPr>
              <w:spacing w:after="0" w:line="252" w:lineRule="auto"/>
              <w:jc w:val="left"/>
            </w:pPr>
            <w:r>
              <w:rPr>
                <w:rFonts w:ascii="Calibri" w:hAnsi="Calibri"/>
                <w:color w:val="202833"/>
                <w:sz w:val="18"/>
              </w:rPr>
              <w:t>Circle-issued Dispatchable Fungible Asset. Metadata address: 0xbae207659db88bea0cbead6da0ed00aac12edcdda169e591cd41c94180b46f3b. [25][26]</w:t>
            </w:r>
          </w:p>
        </w:tc>
      </w:tr>
      <w:tr>
        <w:trPr>
          <w:cantSplit/>
        </w:trPr>
        <w:tc>
          <w:tcPr>
            <w:tcW w:type="dxa" w:w="2100"/>
            <w:shd w:fill="FBFCFD"/>
          </w:tcPr>
          <w:p>
            <w:pPr>
              <w:spacing w:after="0" w:line="252" w:lineRule="auto"/>
              <w:jc w:val="left"/>
            </w:pPr>
            <w:r>
              <w:rPr>
                <w:rFonts w:ascii="Calibri" w:hAnsi="Calibri"/>
                <w:color w:val="202833"/>
                <w:sz w:val="18"/>
              </w:rPr>
              <w:t>Native USDt on Aptos</w:t>
            </w:r>
          </w:p>
        </w:tc>
        <w:tc>
          <w:tcPr>
            <w:tcW w:type="dxa" w:w="2450"/>
            <w:shd w:fill="FBFCFD"/>
          </w:tcPr>
          <w:p>
            <w:pPr>
              <w:spacing w:after="0" w:line="252" w:lineRule="auto"/>
              <w:jc w:val="left"/>
            </w:pPr>
            <w:r>
              <w:rPr>
                <w:rFonts w:ascii="Calibri" w:hAnsi="Calibri"/>
                <w:color w:val="202833"/>
                <w:sz w:val="18"/>
              </w:rPr>
              <w:t>Standards-based; verify current build</w:t>
            </w:r>
          </w:p>
        </w:tc>
        <w:tc>
          <w:tcPr>
            <w:tcW w:type="dxa" w:w="4810"/>
            <w:shd w:fill="FBFCFD"/>
          </w:tcPr>
          <w:p>
            <w:pPr>
              <w:spacing w:after="0" w:line="252" w:lineRule="auto"/>
              <w:jc w:val="left"/>
            </w:pPr>
            <w:r>
              <w:rPr>
                <w:rFonts w:ascii="Calibri" w:hAnsi="Calibri"/>
                <w:color w:val="202833"/>
                <w:sz w:val="18"/>
              </w:rPr>
              <w:t>Tether Fungible Asset. Contract address: 0xf73e887a8754f540ee6e1a93bdc6dde2af69fc7ca5de32013e89dd44244473cb; Object Asset ID: 0x357b0b74bc833e95a115ad22604854d6b0fca151cecd94111770e5d6ffc9dc2b. [27]</w:t>
            </w:r>
          </w:p>
        </w:tc>
      </w:tr>
      <w:tr>
        <w:trPr>
          <w:cantSplit/>
        </w:trPr>
        <w:tc>
          <w:tcPr>
            <w:tcW w:type="dxa" w:w="2100"/>
          </w:tcPr>
          <w:p>
            <w:pPr>
              <w:spacing w:after="0" w:line="252" w:lineRule="auto"/>
              <w:jc w:val="left"/>
            </w:pPr>
            <w:r>
              <w:rPr>
                <w:rFonts w:ascii="Calibri" w:hAnsi="Calibri"/>
                <w:color w:val="202833"/>
                <w:sz w:val="18"/>
              </w:rPr>
              <w:t>USDe / sUSDe on Aptos</w:t>
            </w:r>
          </w:p>
        </w:tc>
        <w:tc>
          <w:tcPr>
            <w:tcW w:type="dxa" w:w="2450"/>
          </w:tcPr>
          <w:p>
            <w:pPr>
              <w:spacing w:after="0" w:line="252" w:lineRule="auto"/>
              <w:jc w:val="left"/>
            </w:pPr>
            <w:r>
              <w:rPr>
                <w:rFonts w:ascii="Calibri" w:hAnsi="Calibri"/>
                <w:color w:val="202833"/>
                <w:sz w:val="18"/>
              </w:rPr>
              <w:t>Conditional representation</w:t>
            </w:r>
          </w:p>
        </w:tc>
        <w:tc>
          <w:tcPr>
            <w:tcW w:type="dxa" w:w="4810"/>
          </w:tcPr>
          <w:p>
            <w:pPr>
              <w:spacing w:after="0" w:line="252" w:lineRule="auto"/>
              <w:jc w:val="left"/>
            </w:pPr>
            <w:r>
              <w:rPr>
                <w:rFonts w:ascii="Calibri" w:hAnsi="Calibri"/>
                <w:color w:val="202833"/>
                <w:sz w:val="18"/>
              </w:rPr>
              <w:t>LayerZero OFT representations are available on Aptos; they are not native Ethereum balances and add issuer, bridge, and contract risk. [31]</w:t>
            </w:r>
          </w:p>
        </w:tc>
      </w:tr>
      <w:tr>
        <w:trPr>
          <w:cantSplit/>
        </w:trPr>
        <w:tc>
          <w:tcPr>
            <w:tcW w:type="dxa" w:w="2100"/>
            <w:shd w:fill="FBFCFD"/>
          </w:tcPr>
          <w:p>
            <w:pPr>
              <w:spacing w:after="0" w:line="252" w:lineRule="auto"/>
              <w:jc w:val="left"/>
            </w:pPr>
            <w:r>
              <w:rPr>
                <w:rFonts w:ascii="Calibri" w:hAnsi="Calibri"/>
                <w:color w:val="202833"/>
                <w:sz w:val="18"/>
              </w:rPr>
              <w:t>MOD</w:t>
            </w:r>
          </w:p>
        </w:tc>
        <w:tc>
          <w:tcPr>
            <w:tcW w:type="dxa" w:w="2450"/>
            <w:shd w:fill="FBFCFD"/>
          </w:tcPr>
          <w:p>
            <w:pPr>
              <w:spacing w:after="0" w:line="252" w:lineRule="auto"/>
              <w:jc w:val="left"/>
            </w:pPr>
            <w:r>
              <w:rPr>
                <w:rFonts w:ascii="Calibri" w:hAnsi="Calibri"/>
                <w:color w:val="202833"/>
                <w:sz w:val="18"/>
              </w:rPr>
              <w:t>Conditional Aptos token</w:t>
            </w:r>
          </w:p>
        </w:tc>
        <w:tc>
          <w:tcPr>
            <w:tcW w:type="dxa" w:w="4810"/>
            <w:shd w:fill="FBFCFD"/>
          </w:tcPr>
          <w:p>
            <w:pPr>
              <w:spacing w:after="0" w:line="252" w:lineRule="auto"/>
              <w:jc w:val="left"/>
            </w:pPr>
            <w:r>
              <w:rPr>
                <w:rFonts w:ascii="Calibri" w:hAnsi="Calibri"/>
                <w:color w:val="202833"/>
                <w:sz w:val="18"/>
              </w:rPr>
              <w:t>Move Dollar, an Aptos DeFi stablecoin associated with Thala. Visibility and transfer support require current metadata/FA compatibility. [29]</w:t>
            </w:r>
          </w:p>
        </w:tc>
      </w:tr>
      <w:tr>
        <w:trPr>
          <w:cantSplit/>
        </w:trPr>
        <w:tc>
          <w:tcPr>
            <w:tcW w:type="dxa" w:w="2100"/>
          </w:tcPr>
          <w:p>
            <w:pPr>
              <w:spacing w:after="0" w:line="252" w:lineRule="auto"/>
              <w:jc w:val="left"/>
            </w:pPr>
            <w:r>
              <w:rPr>
                <w:rFonts w:ascii="Calibri" w:hAnsi="Calibri"/>
                <w:color w:val="202833"/>
                <w:sz w:val="18"/>
              </w:rPr>
              <w:t>THL</w:t>
            </w:r>
          </w:p>
        </w:tc>
        <w:tc>
          <w:tcPr>
            <w:tcW w:type="dxa" w:w="2450"/>
          </w:tcPr>
          <w:p>
            <w:pPr>
              <w:spacing w:after="0" w:line="252" w:lineRule="auto"/>
              <w:jc w:val="left"/>
            </w:pPr>
            <w:r>
              <w:rPr>
                <w:rFonts w:ascii="Calibri" w:hAnsi="Calibri"/>
                <w:color w:val="202833"/>
                <w:sz w:val="18"/>
              </w:rPr>
              <w:t>Conditional Aptos token</w:t>
            </w:r>
          </w:p>
        </w:tc>
        <w:tc>
          <w:tcPr>
            <w:tcW w:type="dxa" w:w="4810"/>
          </w:tcPr>
          <w:p>
            <w:pPr>
              <w:spacing w:after="0" w:line="252" w:lineRule="auto"/>
              <w:jc w:val="left"/>
            </w:pPr>
            <w:r>
              <w:rPr>
                <w:rFonts w:ascii="Calibri" w:hAnsi="Calibri"/>
                <w:color w:val="202833"/>
                <w:sz w:val="18"/>
              </w:rPr>
              <w:t>Thala ecosystem/governance asset; not guaranteed by the Rise marketing statement alone. [29]</w:t>
            </w:r>
          </w:p>
        </w:tc>
      </w:tr>
      <w:tr>
        <w:trPr>
          <w:cantSplit/>
        </w:trPr>
        <w:tc>
          <w:tcPr>
            <w:tcW w:type="dxa" w:w="2100"/>
            <w:shd w:fill="FBFCFD"/>
          </w:tcPr>
          <w:p>
            <w:pPr>
              <w:spacing w:after="0" w:line="252" w:lineRule="auto"/>
              <w:jc w:val="left"/>
            </w:pPr>
            <w:r>
              <w:rPr>
                <w:rFonts w:ascii="Calibri" w:hAnsi="Calibri"/>
                <w:color w:val="202833"/>
                <w:sz w:val="18"/>
              </w:rPr>
              <w:t>amAPT and stAPT</w:t>
            </w:r>
          </w:p>
        </w:tc>
        <w:tc>
          <w:tcPr>
            <w:tcW w:type="dxa" w:w="2450"/>
            <w:shd w:fill="FBFCFD"/>
          </w:tcPr>
          <w:p>
            <w:pPr>
              <w:spacing w:after="0" w:line="252" w:lineRule="auto"/>
              <w:jc w:val="left"/>
            </w:pPr>
            <w:r>
              <w:rPr>
                <w:rFonts w:ascii="Calibri" w:hAnsi="Calibri"/>
                <w:color w:val="202833"/>
                <w:sz w:val="18"/>
              </w:rPr>
              <w:t>Conditional liquid-staking tokens</w:t>
            </w:r>
          </w:p>
        </w:tc>
        <w:tc>
          <w:tcPr>
            <w:tcW w:type="dxa" w:w="4810"/>
            <w:shd w:fill="FBFCFD"/>
          </w:tcPr>
          <w:p>
            <w:pPr>
              <w:spacing w:after="0" w:line="252" w:lineRule="auto"/>
              <w:jc w:val="left"/>
            </w:pPr>
            <w:r>
              <w:rPr>
                <w:rFonts w:ascii="Calibri" w:hAnsi="Calibri"/>
                <w:color w:val="202833"/>
                <w:sz w:val="18"/>
              </w:rPr>
              <w:t>Aptos tokens issued by Amnis for liquid-staking workflows; they carry protocol and liquidity risk distinct from APT. [30]</w:t>
            </w:r>
          </w:p>
        </w:tc>
      </w:tr>
      <w:tr>
        <w:trPr>
          <w:cantSplit/>
        </w:trPr>
        <w:tc>
          <w:tcPr>
            <w:tcW w:type="dxa" w:w="2100"/>
          </w:tcPr>
          <w:p>
            <w:pPr>
              <w:spacing w:after="0" w:line="252" w:lineRule="auto"/>
              <w:jc w:val="left"/>
            </w:pPr>
            <w:r>
              <w:rPr>
                <w:rFonts w:ascii="Calibri" w:hAnsi="Calibri"/>
                <w:color w:val="202833"/>
                <w:sz w:val="18"/>
              </w:rPr>
              <w:t>thAPT / sthAPT</w:t>
            </w:r>
          </w:p>
        </w:tc>
        <w:tc>
          <w:tcPr>
            <w:tcW w:type="dxa" w:w="2450"/>
          </w:tcPr>
          <w:p>
            <w:pPr>
              <w:spacing w:after="0" w:line="252" w:lineRule="auto"/>
              <w:jc w:val="left"/>
            </w:pPr>
            <w:r>
              <w:rPr>
                <w:rFonts w:ascii="Calibri" w:hAnsi="Calibri"/>
                <w:color w:val="202833"/>
                <w:sz w:val="18"/>
              </w:rPr>
              <w:t>Conditional liquid-staking tokens</w:t>
            </w:r>
          </w:p>
        </w:tc>
        <w:tc>
          <w:tcPr>
            <w:tcW w:type="dxa" w:w="4810"/>
          </w:tcPr>
          <w:p>
            <w:pPr>
              <w:spacing w:after="0" w:line="252" w:lineRule="auto"/>
              <w:jc w:val="left"/>
            </w:pPr>
            <w:r>
              <w:rPr>
                <w:rFonts w:ascii="Calibri" w:hAnsi="Calibri"/>
                <w:color w:val="202833"/>
                <w:sz w:val="18"/>
              </w:rPr>
              <w:t>Thala-related liquid-staking representations; not the same asset as native APT. [29]</w:t>
            </w:r>
          </w:p>
        </w:tc>
      </w:tr>
      <w:tr>
        <w:trPr>
          <w:cantSplit/>
        </w:trPr>
        <w:tc>
          <w:tcPr>
            <w:tcW w:type="dxa" w:w="2100"/>
            <w:shd w:fill="FBFCFD"/>
          </w:tcPr>
          <w:p>
            <w:pPr>
              <w:spacing w:after="0" w:line="252" w:lineRule="auto"/>
              <w:jc w:val="left"/>
            </w:pPr>
            <w:r>
              <w:rPr>
                <w:rFonts w:ascii="Calibri" w:hAnsi="Calibri"/>
                <w:color w:val="202833"/>
                <w:sz w:val="18"/>
              </w:rPr>
              <w:t>Other Aptos FAs</w:t>
            </w:r>
          </w:p>
        </w:tc>
        <w:tc>
          <w:tcPr>
            <w:tcW w:type="dxa" w:w="2450"/>
            <w:shd w:fill="FBFCFD"/>
          </w:tcPr>
          <w:p>
            <w:pPr>
              <w:spacing w:after="0" w:line="252" w:lineRule="auto"/>
              <w:jc w:val="left"/>
            </w:pPr>
            <w:r>
              <w:rPr>
                <w:rFonts w:ascii="Calibri" w:hAnsi="Calibri"/>
                <w:color w:val="202833"/>
                <w:sz w:val="18"/>
              </w:rPr>
              <w:t>Standards-based, conditional</w:t>
            </w:r>
          </w:p>
        </w:tc>
        <w:tc>
          <w:tcPr>
            <w:tcW w:type="dxa" w:w="4810"/>
            <w:shd w:fill="FBFCFD"/>
          </w:tcPr>
          <w:p>
            <w:pPr>
              <w:spacing w:after="0" w:line="252" w:lineRule="auto"/>
              <w:jc w:val="left"/>
            </w:pPr>
            <w:r>
              <w:rPr>
                <w:rFonts w:ascii="Calibri" w:hAnsi="Calibri"/>
                <w:color w:val="202833"/>
                <w:sz w:val="18"/>
              </w:rPr>
              <w:t>Any valid vanilla or dispatchable Fungible Asset may exist on-chain, but discovery, pricing, transfer hooks, and UI support depend on the wallet version. [18]</w:t>
            </w:r>
          </w:p>
        </w:tc>
      </w:tr>
      <w:tr>
        <w:trPr>
          <w:cantSplit/>
        </w:trPr>
        <w:tc>
          <w:tcPr>
            <w:tcW w:type="dxa" w:w="2100"/>
          </w:tcPr>
          <w:p>
            <w:pPr>
              <w:spacing w:after="0" w:line="252" w:lineRule="auto"/>
              <w:jc w:val="left"/>
            </w:pPr>
            <w:r>
              <w:rPr>
                <w:rFonts w:ascii="Calibri" w:hAnsi="Calibri"/>
                <w:color w:val="202833"/>
                <w:sz w:val="18"/>
              </w:rPr>
              <w:t>Legacy Aptos Coins</w:t>
            </w:r>
          </w:p>
        </w:tc>
        <w:tc>
          <w:tcPr>
            <w:tcW w:type="dxa" w:w="2450"/>
          </w:tcPr>
          <w:p>
            <w:pPr>
              <w:spacing w:after="0" w:line="252" w:lineRule="auto"/>
              <w:jc w:val="left"/>
            </w:pPr>
            <w:r>
              <w:rPr>
                <w:rFonts w:ascii="Calibri" w:hAnsi="Calibri"/>
                <w:color w:val="202833"/>
                <w:sz w:val="18"/>
              </w:rPr>
              <w:t>Historical / migration-aware</w:t>
            </w:r>
          </w:p>
        </w:tc>
        <w:tc>
          <w:tcPr>
            <w:tcW w:type="dxa" w:w="4810"/>
          </w:tcPr>
          <w:p>
            <w:pPr>
              <w:spacing w:after="0" w:line="252" w:lineRule="auto"/>
              <w:jc w:val="left"/>
            </w:pPr>
            <w:r>
              <w:rPr>
                <w:rFonts w:ascii="Calibri" w:hAnsi="Calibri"/>
                <w:color w:val="202833"/>
                <w:sz w:val="18"/>
              </w:rPr>
              <w:t>CoinStore-based tokens were migrated toward paired Fungible Assets in 2025. A client must sum or interpret both representations correctly. [18][19]</w:t>
            </w:r>
          </w:p>
        </w:tc>
      </w:tr>
      <w:tr>
        <w:trPr>
          <w:cantSplit/>
        </w:trPr>
        <w:tc>
          <w:tcPr>
            <w:tcW w:type="dxa" w:w="2100"/>
            <w:shd w:fill="FBFCFD"/>
          </w:tcPr>
          <w:p>
            <w:pPr>
              <w:spacing w:after="0" w:line="252" w:lineRule="auto"/>
              <w:jc w:val="left"/>
            </w:pPr>
            <w:r>
              <w:rPr>
                <w:rFonts w:ascii="Calibri" w:hAnsi="Calibri"/>
                <w:color w:val="202833"/>
                <w:sz w:val="18"/>
              </w:rPr>
              <w:t>Aptos NFTs / Digital Assets</w:t>
            </w:r>
          </w:p>
        </w:tc>
        <w:tc>
          <w:tcPr>
            <w:tcW w:type="dxa" w:w="2450"/>
            <w:shd w:fill="FBFCFD"/>
          </w:tcPr>
          <w:p>
            <w:pPr>
              <w:spacing w:after="0" w:line="252" w:lineRule="auto"/>
              <w:jc w:val="left"/>
            </w:pPr>
            <w:r>
              <w:rPr>
                <w:rFonts w:ascii="Calibri" w:hAnsi="Calibri"/>
                <w:color w:val="202833"/>
                <w:sz w:val="18"/>
              </w:rPr>
              <w:t>Explicit category; current-standard compatibility unproven</w:t>
            </w:r>
          </w:p>
        </w:tc>
        <w:tc>
          <w:tcPr>
            <w:tcW w:type="dxa" w:w="4810"/>
            <w:shd w:fill="FBFCFD"/>
          </w:tcPr>
          <w:p>
            <w:pPr>
              <w:spacing w:after="0" w:line="252" w:lineRule="auto"/>
              <w:jc w:val="left"/>
            </w:pPr>
            <w:r>
              <w:rPr>
                <w:rFonts w:ascii="Calibri" w:hAnsi="Calibri"/>
                <w:color w:val="202833"/>
                <w:sz w:val="18"/>
              </w:rPr>
              <w:t>Rise markets NFT management and profile pictures. Current Digital Asset objects and older Token v1 assets require different indexing and transfer logic. [1][20][21]</w:t>
            </w:r>
          </w:p>
        </w:tc>
      </w:tr>
      <w:tr>
        <w:trPr>
          <w:cantSplit/>
        </w:trPr>
        <w:tc>
          <w:tcPr>
            <w:tcW w:type="dxa" w:w="2100"/>
          </w:tcPr>
          <w:p>
            <w:pPr>
              <w:spacing w:after="0" w:line="252" w:lineRule="auto"/>
              <w:jc w:val="left"/>
            </w:pPr>
            <w:r>
              <w:rPr>
                <w:rFonts w:ascii="Calibri" w:hAnsi="Calibri"/>
                <w:color w:val="202833"/>
                <w:sz w:val="18"/>
              </w:rPr>
              <w:t>Aptos Names</w:t>
            </w:r>
          </w:p>
        </w:tc>
        <w:tc>
          <w:tcPr>
            <w:tcW w:type="dxa" w:w="2450"/>
          </w:tcPr>
          <w:p>
            <w:pPr>
              <w:spacing w:after="0" w:line="252" w:lineRule="auto"/>
              <w:jc w:val="left"/>
            </w:pPr>
            <w:r>
              <w:rPr>
                <w:rFonts w:ascii="Calibri" w:hAnsi="Calibri"/>
                <w:color w:val="202833"/>
                <w:sz w:val="18"/>
              </w:rPr>
              <w:t>Explicit identity asset/service</w:t>
            </w:r>
          </w:p>
        </w:tc>
        <w:tc>
          <w:tcPr>
            <w:tcW w:type="dxa" w:w="4810"/>
          </w:tcPr>
          <w:p>
            <w:pPr>
              <w:spacing w:after="0" w:line="252" w:lineRule="auto"/>
              <w:jc w:val="left"/>
            </w:pPr>
            <w:r>
              <w:rPr>
                <w:rFonts w:ascii="Calibri" w:hAnsi="Calibri"/>
                <w:color w:val="202833"/>
                <w:sz w:val="18"/>
              </w:rPr>
              <w:t>Human-readable .apt names mapped to addresses; registration and expiration are separate from the wallet. [1][33]</w:t>
            </w:r>
          </w:p>
        </w:tc>
      </w:tr>
      <w:tr>
        <w:trPr>
          <w:cantSplit/>
        </w:trPr>
        <w:tc>
          <w:tcPr>
            <w:tcW w:type="dxa" w:w="2100"/>
            <w:shd w:fill="FBFCFD"/>
          </w:tcPr>
          <w:p>
            <w:pPr>
              <w:spacing w:after="0" w:line="252" w:lineRule="auto"/>
              <w:jc w:val="left"/>
            </w:pPr>
            <w:r>
              <w:rPr>
                <w:rFonts w:ascii="Calibri" w:hAnsi="Calibri"/>
                <w:color w:val="202833"/>
                <w:sz w:val="18"/>
              </w:rPr>
              <w:t>LP, receipt, debt, governance, and RWA tokens</w:t>
            </w:r>
          </w:p>
        </w:tc>
        <w:tc>
          <w:tcPr>
            <w:tcW w:type="dxa" w:w="2450"/>
            <w:shd w:fill="FBFCFD"/>
          </w:tcPr>
          <w:p>
            <w:pPr>
              <w:spacing w:after="0" w:line="252" w:lineRule="auto"/>
              <w:jc w:val="left"/>
            </w:pPr>
            <w:r>
              <w:rPr>
                <w:rFonts w:ascii="Calibri" w:hAnsi="Calibri"/>
                <w:color w:val="202833"/>
                <w:sz w:val="18"/>
              </w:rPr>
              <w:t>Conditional</w:t>
            </w:r>
          </w:p>
        </w:tc>
        <w:tc>
          <w:tcPr>
            <w:tcW w:type="dxa" w:w="4810"/>
            <w:shd w:fill="FBFCFD"/>
          </w:tcPr>
          <w:p>
            <w:pPr>
              <w:spacing w:after="0" w:line="252" w:lineRule="auto"/>
              <w:jc w:val="left"/>
            </w:pPr>
            <w:r>
              <w:rPr>
                <w:rFonts w:ascii="Calibri" w:hAnsi="Calibri"/>
                <w:color w:val="202833"/>
                <w:sz w:val="18"/>
              </w:rPr>
              <w:t>May be valid Aptos FAs or Digital Assets, but economic meaning and redeemability come from the issuing protocol, not Rise.</w:t>
            </w:r>
          </w:p>
        </w:tc>
      </w:tr>
      <w:tr>
        <w:trPr>
          <w:cantSplit/>
        </w:trPr>
        <w:tc>
          <w:tcPr>
            <w:tcW w:type="dxa" w:w="2100"/>
          </w:tcPr>
          <w:p>
            <w:pPr>
              <w:spacing w:after="0" w:line="252" w:lineRule="auto"/>
              <w:jc w:val="left"/>
            </w:pPr>
            <w:r>
              <w:rPr>
                <w:rFonts w:ascii="Calibri" w:hAnsi="Calibri"/>
                <w:color w:val="202833"/>
                <w:sz w:val="18"/>
              </w:rPr>
              <w:t>Testnet/devnet tokens</w:t>
            </w:r>
          </w:p>
        </w:tc>
        <w:tc>
          <w:tcPr>
            <w:tcW w:type="dxa" w:w="2450"/>
          </w:tcPr>
          <w:p>
            <w:pPr>
              <w:spacing w:after="0" w:line="252" w:lineRule="auto"/>
              <w:jc w:val="left"/>
            </w:pPr>
            <w:r>
              <w:rPr>
                <w:rFonts w:ascii="Calibri" w:hAnsi="Calibri"/>
                <w:color w:val="202833"/>
                <w:sz w:val="18"/>
              </w:rPr>
              <w:t>Test only</w:t>
            </w:r>
          </w:p>
        </w:tc>
        <w:tc>
          <w:tcPr>
            <w:tcW w:type="dxa" w:w="4810"/>
          </w:tcPr>
          <w:p>
            <w:pPr>
              <w:spacing w:after="0" w:line="252" w:lineRule="auto"/>
              <w:jc w:val="left"/>
            </w:pPr>
            <w:r>
              <w:rPr>
                <w:rFonts w:ascii="Calibri" w:hAnsi="Calibri"/>
                <w:color w:val="202833"/>
                <w:sz w:val="18"/>
              </w:rPr>
              <w:t>No mainnet monetary value. Network context must be unmistakable.</w:t>
            </w:r>
          </w:p>
        </w:tc>
      </w:tr>
      <w:tr>
        <w:trPr>
          <w:cantSplit/>
        </w:trPr>
        <w:tc>
          <w:tcPr>
            <w:tcW w:type="dxa" w:w="2100"/>
            <w:shd w:fill="FBFCFD"/>
          </w:tcPr>
          <w:p>
            <w:pPr>
              <w:spacing w:after="0" w:line="252" w:lineRule="auto"/>
              <w:jc w:val="left"/>
            </w:pPr>
            <w:r>
              <w:rPr>
                <w:rFonts w:ascii="Calibri" w:hAnsi="Calibri"/>
                <w:color w:val="202833"/>
                <w:sz w:val="18"/>
              </w:rPr>
              <w:t>BTC, ETH, SOL, BNB, ADA, DOT, XRP, DOGE, TON</w:t>
            </w:r>
          </w:p>
        </w:tc>
        <w:tc>
          <w:tcPr>
            <w:tcW w:type="dxa" w:w="2450"/>
            <w:shd w:fill="FBFCFD"/>
          </w:tcPr>
          <w:p>
            <w:pPr>
              <w:spacing w:after="0" w:line="252" w:lineRule="auto"/>
              <w:jc w:val="left"/>
            </w:pPr>
            <w:r>
              <w:rPr>
                <w:rFonts w:ascii="Calibri" w:hAnsi="Calibri"/>
                <w:color w:val="202833"/>
                <w:sz w:val="18"/>
              </w:rPr>
              <w:t>Not supported on native external chains</w:t>
            </w:r>
          </w:p>
        </w:tc>
        <w:tc>
          <w:tcPr>
            <w:tcW w:type="dxa" w:w="4810"/>
            <w:shd w:fill="FBFCFD"/>
          </w:tcPr>
          <w:p>
            <w:pPr>
              <w:spacing w:after="0" w:line="252" w:lineRule="auto"/>
              <w:jc w:val="left"/>
            </w:pPr>
            <w:r>
              <w:rPr>
                <w:rFonts w:ascii="Calibri" w:hAnsi="Calibri"/>
                <w:color w:val="202833"/>
                <w:sz w:val="18"/>
              </w:rPr>
              <w:t>Rise is Aptos-only. A similarly named Aptos token is a representation with separate contract and bridge/issuer risk.</w:t>
            </w:r>
          </w:p>
        </w:tc>
      </w:tr>
    </w:tbl>
    <w:p>
      <w:pPr>
        <w:widowControl/>
        <w:spacing w:after="0"/>
      </w:pPr>
    </w:p>
    <w:p>
      <w:pPr>
        <w:pStyle w:val="Heading2"/>
        <w:keepNext/>
        <w:widowControl/>
      </w:pPr>
      <w:r>
        <w:t>5.2 Why there is no safe finite list of every Rise token</w:t>
      </w:r>
    </w:p>
    <w:p>
      <w:pPr>
        <w:widowControl/>
      </w:pPr>
      <w:r>
        <w:rPr>
          <w:rFonts w:ascii="Calibri" w:hAnsi="Calibri"/>
          <w:color w:val="202833"/>
        </w:rPr>
        <w:t>The official Rise FAQ gives a standards rule rather than a curated catalogue: it says the wallet supports any token conforming to the Aptos token standard. Permissionless asset creation means new tokens can appear without a Rise release. Conversely, a token can exist on-chain while an older wallet fails to index, label, price, transfer, or simulate it. A useful support answer must therefore identify the network, the exact on-chain asset, the standard, and the action being attempted. [1][18][20]</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700"/>
        <w:gridCol w:w="3790"/>
        <w:gridCol w:w="3870"/>
      </w:tblGrid>
      <w:tr>
        <w:trPr>
          <w:tblHeader w:val="true"/>
        </w:trPr>
        <w:tc>
          <w:tcPr>
            <w:tcW w:type="dxa" w:w="1700"/>
            <w:tcMar>
              <w:top w:w="80" w:type="dxa"/>
              <w:start w:w="120" w:type="dxa"/>
              <w:bottom w:w="80" w:type="dxa"/>
              <w:end w:w="120" w:type="dxa"/>
            </w:tcMar>
            <w:vAlign w:val="center"/>
            <w:shd w:fill="F2F4F7"/>
          </w:tcPr>
          <w:p>
            <w:pPr>
              <w:spacing w:after="0"/>
              <w:jc w:val="left"/>
            </w:pPr>
            <w:r>
              <w:rPr>
                <w:rFonts w:ascii="Calibri" w:hAnsi="Calibri"/>
                <w:b/>
                <w:color w:val="17365D"/>
                <w:sz w:val="19"/>
              </w:rPr>
              <w:t>Support layer</w:t>
            </w:r>
          </w:p>
        </w:tc>
        <w:tc>
          <w:tcPr>
            <w:tcW w:type="dxa" w:w="3790"/>
            <w:tcMar>
              <w:top w:w="80" w:type="dxa"/>
              <w:start w:w="120" w:type="dxa"/>
              <w:bottom w:w="80" w:type="dxa"/>
              <w:end w:w="120" w:type="dxa"/>
            </w:tcMar>
            <w:vAlign w:val="center"/>
            <w:shd w:fill="F2F4F7"/>
          </w:tcPr>
          <w:p>
            <w:pPr>
              <w:spacing w:after="0"/>
              <w:jc w:val="left"/>
            </w:pPr>
            <w:r>
              <w:rPr>
                <w:rFonts w:ascii="Calibri" w:hAnsi="Calibri"/>
                <w:b/>
                <w:color w:val="17365D"/>
                <w:sz w:val="19"/>
              </w:rPr>
              <w:t>Question</w:t>
            </w:r>
          </w:p>
        </w:tc>
        <w:tc>
          <w:tcPr>
            <w:tcW w:type="dxa" w:w="3870"/>
            <w:tcMar>
              <w:top w:w="80" w:type="dxa"/>
              <w:start w:w="120" w:type="dxa"/>
              <w:bottom w:w="80" w:type="dxa"/>
              <w:end w:w="120" w:type="dxa"/>
            </w:tcMar>
            <w:vAlign w:val="center"/>
            <w:shd w:fill="F2F4F7"/>
          </w:tcPr>
          <w:p>
            <w:pPr>
              <w:spacing w:after="0"/>
              <w:jc w:val="left"/>
            </w:pPr>
            <w:r>
              <w:rPr>
                <w:rFonts w:ascii="Calibri" w:hAnsi="Calibri"/>
                <w:b/>
                <w:color w:val="17365D"/>
                <w:sz w:val="19"/>
              </w:rPr>
              <w:t>Possible outcome</w:t>
            </w:r>
          </w:p>
        </w:tc>
      </w:tr>
      <w:tr>
        <w:trPr>
          <w:cantSplit/>
        </w:trPr>
        <w:tc>
          <w:tcPr>
            <w:tcW w:type="dxa" w:w="1700"/>
            <w:shd w:fill="FBFCFD"/>
          </w:tcPr>
          <w:p>
            <w:pPr>
              <w:spacing w:after="0" w:line="252" w:lineRule="auto"/>
              <w:jc w:val="left"/>
            </w:pPr>
            <w:r>
              <w:rPr>
                <w:rFonts w:ascii="Calibri" w:hAnsi="Calibri"/>
                <w:color w:val="202833"/>
                <w:sz w:val="18"/>
              </w:rPr>
              <w:t>Ledger existence</w:t>
            </w:r>
          </w:p>
        </w:tc>
        <w:tc>
          <w:tcPr>
            <w:tcW w:type="dxa" w:w="3790"/>
            <w:shd w:fill="FBFCFD"/>
          </w:tcPr>
          <w:p>
            <w:pPr>
              <w:spacing w:after="0" w:line="252" w:lineRule="auto"/>
              <w:jc w:val="left"/>
            </w:pPr>
            <w:r>
              <w:rPr>
                <w:rFonts w:ascii="Calibri" w:hAnsi="Calibri"/>
                <w:color w:val="202833"/>
                <w:sz w:val="18"/>
              </w:rPr>
              <w:t>Does the asset exist in this Aptos account?</w:t>
            </w:r>
          </w:p>
        </w:tc>
        <w:tc>
          <w:tcPr>
            <w:tcW w:type="dxa" w:w="3870"/>
            <w:shd w:fill="FBFCFD"/>
          </w:tcPr>
          <w:p>
            <w:pPr>
              <w:spacing w:after="0" w:line="252" w:lineRule="auto"/>
              <w:jc w:val="left"/>
            </w:pPr>
            <w:r>
              <w:rPr>
                <w:rFonts w:ascii="Calibri" w:hAnsi="Calibri"/>
                <w:color w:val="202833"/>
                <w:sz w:val="18"/>
              </w:rPr>
              <w:t>Yes even if Rise does not display it.</w:t>
            </w:r>
          </w:p>
        </w:tc>
      </w:tr>
      <w:tr>
        <w:trPr>
          <w:cantSplit/>
        </w:trPr>
        <w:tc>
          <w:tcPr>
            <w:tcW w:type="dxa" w:w="1700"/>
          </w:tcPr>
          <w:p>
            <w:pPr>
              <w:spacing w:after="0" w:line="252" w:lineRule="auto"/>
              <w:jc w:val="left"/>
            </w:pPr>
            <w:r>
              <w:rPr>
                <w:rFonts w:ascii="Calibri" w:hAnsi="Calibri"/>
                <w:color w:val="202833"/>
                <w:sz w:val="18"/>
              </w:rPr>
              <w:t>Indexer discovery</w:t>
            </w:r>
          </w:p>
        </w:tc>
        <w:tc>
          <w:tcPr>
            <w:tcW w:type="dxa" w:w="3790"/>
          </w:tcPr>
          <w:p>
            <w:pPr>
              <w:spacing w:after="0" w:line="252" w:lineRule="auto"/>
              <w:jc w:val="left"/>
            </w:pPr>
            <w:r>
              <w:rPr>
                <w:rFonts w:ascii="Calibri" w:hAnsi="Calibri"/>
                <w:color w:val="202833"/>
                <w:sz w:val="18"/>
              </w:rPr>
              <w:t>Can Rise's data provider find the balance/object?</w:t>
            </w:r>
          </w:p>
        </w:tc>
        <w:tc>
          <w:tcPr>
            <w:tcW w:type="dxa" w:w="3870"/>
          </w:tcPr>
          <w:p>
            <w:pPr>
              <w:spacing w:after="0" w:line="252" w:lineRule="auto"/>
              <w:jc w:val="left"/>
            </w:pPr>
            <w:r>
              <w:rPr>
                <w:rFonts w:ascii="Calibri" w:hAnsi="Calibri"/>
                <w:color w:val="202833"/>
                <w:sz w:val="18"/>
              </w:rPr>
              <w:t>Missing, delayed, duplicated, or stale portfolio entry.</w:t>
            </w:r>
          </w:p>
        </w:tc>
      </w:tr>
      <w:tr>
        <w:trPr>
          <w:cantSplit/>
        </w:trPr>
        <w:tc>
          <w:tcPr>
            <w:tcW w:type="dxa" w:w="1700"/>
            <w:shd w:fill="FBFCFD"/>
          </w:tcPr>
          <w:p>
            <w:pPr>
              <w:spacing w:after="0" w:line="252" w:lineRule="auto"/>
              <w:jc w:val="left"/>
            </w:pPr>
            <w:r>
              <w:rPr>
                <w:rFonts w:ascii="Calibri" w:hAnsi="Calibri"/>
                <w:color w:val="202833"/>
                <w:sz w:val="18"/>
              </w:rPr>
              <w:t>Metadata rendering</w:t>
            </w:r>
          </w:p>
        </w:tc>
        <w:tc>
          <w:tcPr>
            <w:tcW w:type="dxa" w:w="3790"/>
            <w:shd w:fill="FBFCFD"/>
          </w:tcPr>
          <w:p>
            <w:pPr>
              <w:spacing w:after="0" w:line="252" w:lineRule="auto"/>
              <w:jc w:val="left"/>
            </w:pPr>
            <w:r>
              <w:rPr>
                <w:rFonts w:ascii="Calibri" w:hAnsi="Calibri"/>
                <w:color w:val="202833"/>
                <w:sz w:val="18"/>
              </w:rPr>
              <w:t>Can the client read symbol, decimals, name, image, and issuer data?</w:t>
            </w:r>
          </w:p>
        </w:tc>
        <w:tc>
          <w:tcPr>
            <w:tcW w:type="dxa" w:w="3870"/>
            <w:shd w:fill="FBFCFD"/>
          </w:tcPr>
          <w:p>
            <w:pPr>
              <w:spacing w:after="0" w:line="252" w:lineRule="auto"/>
              <w:jc w:val="left"/>
            </w:pPr>
            <w:r>
              <w:rPr>
                <w:rFonts w:ascii="Calibri" w:hAnsi="Calibri"/>
                <w:color w:val="202833"/>
                <w:sz w:val="18"/>
              </w:rPr>
              <w:t>Unknown token, wrong decimal display, broken image, or copied branding.</w:t>
            </w:r>
          </w:p>
        </w:tc>
      </w:tr>
      <w:tr>
        <w:trPr>
          <w:cantSplit/>
        </w:trPr>
        <w:tc>
          <w:tcPr>
            <w:tcW w:type="dxa" w:w="1700"/>
          </w:tcPr>
          <w:p>
            <w:pPr>
              <w:spacing w:after="0" w:line="252" w:lineRule="auto"/>
              <w:jc w:val="left"/>
            </w:pPr>
            <w:r>
              <w:rPr>
                <w:rFonts w:ascii="Calibri" w:hAnsi="Calibri"/>
                <w:color w:val="202833"/>
                <w:sz w:val="18"/>
              </w:rPr>
              <w:t>Transfer construction</w:t>
            </w:r>
          </w:p>
        </w:tc>
        <w:tc>
          <w:tcPr>
            <w:tcW w:type="dxa" w:w="3790"/>
          </w:tcPr>
          <w:p>
            <w:pPr>
              <w:spacing w:after="0" w:line="252" w:lineRule="auto"/>
              <w:jc w:val="left"/>
            </w:pPr>
            <w:r>
              <w:rPr>
                <w:rFonts w:ascii="Calibri" w:hAnsi="Calibri"/>
                <w:color w:val="202833"/>
                <w:sz w:val="18"/>
              </w:rPr>
              <w:t>Can the client build the correct Coin, FA, DFA, or DA transfer?</w:t>
            </w:r>
          </w:p>
        </w:tc>
        <w:tc>
          <w:tcPr>
            <w:tcW w:type="dxa" w:w="3870"/>
          </w:tcPr>
          <w:p>
            <w:pPr>
              <w:spacing w:after="0" w:line="252" w:lineRule="auto"/>
              <w:jc w:val="left"/>
            </w:pPr>
            <w:r>
              <w:rPr>
                <w:rFonts w:ascii="Calibri" w:hAnsi="Calibri"/>
                <w:color w:val="202833"/>
                <w:sz w:val="18"/>
              </w:rPr>
              <w:t>Display-only support or transaction failure.</w:t>
            </w:r>
          </w:p>
        </w:tc>
      </w:tr>
      <w:tr>
        <w:trPr>
          <w:cantSplit/>
        </w:trPr>
        <w:tc>
          <w:tcPr>
            <w:tcW w:type="dxa" w:w="1700"/>
            <w:shd w:fill="FBFCFD"/>
          </w:tcPr>
          <w:p>
            <w:pPr>
              <w:spacing w:after="0" w:line="252" w:lineRule="auto"/>
              <w:jc w:val="left"/>
            </w:pPr>
            <w:r>
              <w:rPr>
                <w:rFonts w:ascii="Calibri" w:hAnsi="Calibri"/>
                <w:color w:val="202833"/>
                <w:sz w:val="18"/>
              </w:rPr>
              <w:t>Custom hooks</w:t>
            </w:r>
          </w:p>
        </w:tc>
        <w:tc>
          <w:tcPr>
            <w:tcW w:type="dxa" w:w="3790"/>
            <w:shd w:fill="FBFCFD"/>
          </w:tcPr>
          <w:p>
            <w:pPr>
              <w:spacing w:after="0" w:line="252" w:lineRule="auto"/>
              <w:jc w:val="left"/>
            </w:pPr>
            <w:r>
              <w:rPr>
                <w:rFonts w:ascii="Calibri" w:hAnsi="Calibri"/>
                <w:color w:val="202833"/>
                <w:sz w:val="18"/>
              </w:rPr>
              <w:t>Does a dispatchable FA execute transfer-specific Move logic?</w:t>
            </w:r>
          </w:p>
        </w:tc>
        <w:tc>
          <w:tcPr>
            <w:tcW w:type="dxa" w:w="3870"/>
            <w:shd w:fill="FBFCFD"/>
          </w:tcPr>
          <w:p>
            <w:pPr>
              <w:spacing w:after="0" w:line="252" w:lineRule="auto"/>
              <w:jc w:val="left"/>
            </w:pPr>
            <w:r>
              <w:rPr>
                <w:rFonts w:ascii="Calibri" w:hAnsi="Calibri"/>
                <w:color w:val="202833"/>
                <w:sz w:val="18"/>
              </w:rPr>
              <w:t>Simulation and final result can differ from a simple balance transfer assumption.</w:t>
            </w:r>
          </w:p>
        </w:tc>
      </w:tr>
      <w:tr>
        <w:trPr>
          <w:cantSplit/>
        </w:trPr>
        <w:tc>
          <w:tcPr>
            <w:tcW w:type="dxa" w:w="1700"/>
          </w:tcPr>
          <w:p>
            <w:pPr>
              <w:spacing w:after="0" w:line="252" w:lineRule="auto"/>
              <w:jc w:val="left"/>
            </w:pPr>
            <w:r>
              <w:rPr>
                <w:rFonts w:ascii="Calibri" w:hAnsi="Calibri"/>
                <w:color w:val="202833"/>
                <w:sz w:val="18"/>
              </w:rPr>
              <w:t>Price integration</w:t>
            </w:r>
          </w:p>
        </w:tc>
        <w:tc>
          <w:tcPr>
            <w:tcW w:type="dxa" w:w="3790"/>
          </w:tcPr>
          <w:p>
            <w:pPr>
              <w:spacing w:after="0" w:line="252" w:lineRule="auto"/>
              <w:jc w:val="left"/>
            </w:pPr>
            <w:r>
              <w:rPr>
                <w:rFonts w:ascii="Calibri" w:hAnsi="Calibri"/>
                <w:color w:val="202833"/>
                <w:sz w:val="18"/>
              </w:rPr>
              <w:t>Does the wallet have a trusted market source?</w:t>
            </w:r>
          </w:p>
        </w:tc>
        <w:tc>
          <w:tcPr>
            <w:tcW w:type="dxa" w:w="3870"/>
          </w:tcPr>
          <w:p>
            <w:pPr>
              <w:spacing w:after="0" w:line="252" w:lineRule="auto"/>
              <w:jc w:val="left"/>
            </w:pPr>
            <w:r>
              <w:rPr>
                <w:rFonts w:ascii="Calibri" w:hAnsi="Calibri"/>
                <w:color w:val="202833"/>
                <w:sz w:val="18"/>
              </w:rPr>
              <w:t>Balance visible with no price, or a misleading valuation.</w:t>
            </w:r>
          </w:p>
        </w:tc>
      </w:tr>
      <w:tr>
        <w:trPr>
          <w:cantSplit/>
        </w:trPr>
        <w:tc>
          <w:tcPr>
            <w:tcW w:type="dxa" w:w="1700"/>
            <w:shd w:fill="FBFCFD"/>
          </w:tcPr>
          <w:p>
            <w:pPr>
              <w:spacing w:after="0" w:line="252" w:lineRule="auto"/>
              <w:jc w:val="left"/>
            </w:pPr>
            <w:r>
              <w:rPr>
                <w:rFonts w:ascii="Calibri" w:hAnsi="Calibri"/>
                <w:color w:val="202833"/>
                <w:sz w:val="18"/>
              </w:rPr>
              <w:t>Swap route</w:t>
            </w:r>
          </w:p>
        </w:tc>
        <w:tc>
          <w:tcPr>
            <w:tcW w:type="dxa" w:w="3790"/>
            <w:shd w:fill="FBFCFD"/>
          </w:tcPr>
          <w:p>
            <w:pPr>
              <w:spacing w:after="0" w:line="252" w:lineRule="auto"/>
              <w:jc w:val="left"/>
            </w:pPr>
            <w:r>
              <w:rPr>
                <w:rFonts w:ascii="Calibri" w:hAnsi="Calibri"/>
                <w:color w:val="202833"/>
                <w:sz w:val="18"/>
              </w:rPr>
              <w:t>Does a live pool/aggregator support the exact asset?</w:t>
            </w:r>
          </w:p>
        </w:tc>
        <w:tc>
          <w:tcPr>
            <w:tcW w:type="dxa" w:w="3870"/>
            <w:shd w:fill="FBFCFD"/>
          </w:tcPr>
          <w:p>
            <w:pPr>
              <w:spacing w:after="0" w:line="252" w:lineRule="auto"/>
              <w:jc w:val="left"/>
            </w:pPr>
            <w:r>
              <w:rPr>
                <w:rFonts w:ascii="Calibri" w:hAnsi="Calibri"/>
                <w:color w:val="202833"/>
                <w:sz w:val="18"/>
              </w:rPr>
              <w:t>No route, low liquidity, high price impact, or malicious pool.</w:t>
            </w:r>
          </w:p>
        </w:tc>
      </w:tr>
    </w:tbl>
    <w:p>
      <w:pPr>
        <w:widowControl/>
        <w:spacing w:after="0"/>
      </w:pPr>
    </w:p>
    <w:p>
      <w:pPr>
        <w:pStyle w:val="Heading2"/>
        <w:keepNext/>
        <w:widowControl/>
      </w:pPr>
      <w:r>
        <w:t>5.3 Native, bridged, and synthetic assets</w:t>
      </w:r>
    </w:p>
    <w:p>
      <w:pPr>
        <w:widowControl/>
      </w:pPr>
      <w:r>
        <w:rPr>
          <w:rFonts w:ascii="Calibri" w:hAnsi="Calibri"/>
          <w:color w:val="202833"/>
        </w:rPr>
        <w:t>A token symbol does not reveal its backing. Native USDC is issued directly on Aptos by Circle, while lzUSDC is a bridged form that Circle explicitly says is not issued or supported by Circle Mint. USDe and sUSDe on Aptos use LayerZero's OFT representation according to the Aptos Foundation. Liquid-staking tokens represent claims or accounting units in a staking protocol. These are all Aptos assets from the wallet's point of view, but their economic and recovery risks are very different. [26][30][31]</w:t>
      </w:r>
    </w:p>
    <w:tbl>
      <w:tblPr>
        <w:tblW w:type="dxa" w:w="9360"/>
        <w:jc w:val="left"/>
        <w:tblLayout w:type="fixed"/>
        <w:tblLook w:firstColumn="1" w:firstRow="1" w:lastColumn="0" w:lastRow="0" w:noHBand="0" w:noVBand="1" w:val="04A0"/>
        <w:tblInd w:w="120" w:type="dxa"/>
        <w:tblBorders>
          <w:top w:val="single" w:sz="7" w:space="0" w:color="9B1C1C"/>
          <w:left w:val="single" w:sz="7" w:space="0" w:color="9B1C1C"/>
          <w:bottom w:val="single" w:sz="7" w:space="0" w:color="9B1C1C"/>
          <w:right w:val="single" w:sz="7" w:space="0" w:color="9B1C1C"/>
          <w:insideH w:val="single" w:sz="7" w:space="0" w:color="9B1C1C"/>
          <w:insideV w:val="single" w:sz="7" w:space="0" w:color="9B1C1C"/>
        </w:tblBorders>
      </w:tblPr>
      <w:tblGrid>
        <w:gridCol w:w="9360"/>
      </w:tblGrid>
      <w:tr>
        <w:trPr>
          <w:cantSplit/>
        </w:trPr>
        <w:tc>
          <w:tcPr>
            <w:tcW w:type="dxa" w:w="9360"/>
            <w:tcMar>
              <w:top w:w="80" w:type="dxa"/>
              <w:start w:w="120" w:type="dxa"/>
              <w:bottom w:w="80" w:type="dxa"/>
              <w:end w:w="120" w:type="dxa"/>
            </w:tcMar>
            <w:vAlign w:val="center"/>
            <w:shd w:fill="FCEEEF"/>
          </w:tcPr>
          <w:p>
            <w:pPr>
              <w:spacing w:after="60"/>
            </w:pPr>
            <w:r>
              <w:rPr>
                <w:rFonts w:ascii="Calibri" w:hAnsi="Calibri"/>
                <w:b/>
                <w:color w:val="9B1C1C"/>
              </w:rPr>
              <w:t>Asset identity rule</w:t>
            </w:r>
          </w:p>
          <w:p>
            <w:pPr>
              <w:spacing w:after="0" w:line="264" w:lineRule="auto"/>
            </w:pPr>
            <w:r>
              <w:rPr>
                <w:rFonts w:ascii="Calibri" w:hAnsi="Calibri"/>
                <w:color w:val="202833"/>
              </w:rPr>
              <w:t>Before receiving or swapping a token, verify the exact metadata/object address or legacy type, issuer documentation, network, representation type, bridge or protocol, decimals, and intended transfer function. Never rely on the symbol alone.</w:t>
            </w:r>
          </w:p>
        </w:tc>
      </w:tr>
    </w:tbl>
    <w:p>
      <w:pPr>
        <w:widowControl/>
        <w:spacing w:after="0"/>
      </w:pPr>
    </w:p>
    <w:p>
      <w:pPr>
        <w:pStyle w:val="Heading1"/>
        <w:keepNext/>
        <w:widowControl/>
      </w:pPr>
      <w:r>
        <w:t>6. Aptos asset standards and migration implications</w:t>
      </w:r>
    </w:p>
    <w:p>
      <w:pPr>
        <w:pStyle w:val="Heading2"/>
        <w:keepNext/>
        <w:widowControl/>
      </w:pPr>
      <w:r>
        <w:t>6.1 Legacy Coin standard</w:t>
      </w:r>
    </w:p>
    <w:p>
      <w:pPr>
        <w:widowControl/>
      </w:pPr>
      <w:r>
        <w:rPr>
          <w:rFonts w:ascii="Calibri" w:hAnsi="Calibri"/>
          <w:color w:val="202833"/>
        </w:rPr>
        <w:t>The original Aptos Coin standard stored a CoinStore&lt;CoinType&gt; resource under an account. A recipient often needed to register a CoinStore before receiving a specific coin. Rise's FAQ and its transaction-signing example reflect this era: the example calls 0x1::coin::transfer with AptosCoin, and the FAQ says some recipients must create a token account before a transfer. [1][7][19]</w:t>
      </w:r>
    </w:p>
    <w:p>
      <w:pPr>
        <w:pStyle w:val="Heading2"/>
        <w:keepNext/>
        <w:widowControl/>
      </w:pPr>
      <w:r>
        <w:t>6.2 Fungible Asset standard</w:t>
      </w:r>
    </w:p>
    <w:p>
      <w:pPr>
        <w:widowControl/>
      </w:pPr>
      <w:r>
        <w:rPr>
          <w:rFonts w:ascii="Calibri" w:hAnsi="Calibri"/>
          <w:color w:val="202833"/>
        </w:rPr>
        <w:t>The current Fungible Asset standard uses Move Objects. An Object&lt;Metadata&gt; identifies name, symbol, decimals, and control information, while Object&lt;FungibleStore&gt; holds units. A primary store is deterministically derived from the owner and metadata address. The standard can automatically create the primary store for a recipient. Dispatchable FAs can execute custom Move logic during transfers. [18]</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750"/>
        <w:gridCol w:w="3680"/>
        <w:gridCol w:w="3930"/>
      </w:tblGrid>
      <w:tr>
        <w:trPr>
          <w:tblHeader w:val="true"/>
        </w:trPr>
        <w:tc>
          <w:tcPr>
            <w:tcW w:type="dxa" w:w="1750"/>
            <w:tcMar>
              <w:top w:w="80" w:type="dxa"/>
              <w:start w:w="120" w:type="dxa"/>
              <w:bottom w:w="80" w:type="dxa"/>
              <w:end w:w="120" w:type="dxa"/>
            </w:tcMar>
            <w:vAlign w:val="center"/>
            <w:shd w:fill="F2F4F7"/>
          </w:tcPr>
          <w:p>
            <w:pPr>
              <w:spacing w:after="0"/>
              <w:jc w:val="left"/>
            </w:pPr>
            <w:r>
              <w:rPr>
                <w:rFonts w:ascii="Calibri" w:hAnsi="Calibri"/>
                <w:b/>
                <w:color w:val="17365D"/>
                <w:sz w:val="19"/>
              </w:rPr>
              <w:t>Property</w:t>
            </w:r>
          </w:p>
        </w:tc>
        <w:tc>
          <w:tcPr>
            <w:tcW w:type="dxa" w:w="3680"/>
            <w:tcMar>
              <w:top w:w="80" w:type="dxa"/>
              <w:start w:w="120" w:type="dxa"/>
              <w:bottom w:w="80" w:type="dxa"/>
              <w:end w:w="120" w:type="dxa"/>
            </w:tcMar>
            <w:vAlign w:val="center"/>
            <w:shd w:fill="F2F4F7"/>
          </w:tcPr>
          <w:p>
            <w:pPr>
              <w:spacing w:after="0"/>
              <w:jc w:val="left"/>
            </w:pPr>
            <w:r>
              <w:rPr>
                <w:rFonts w:ascii="Calibri" w:hAnsi="Calibri"/>
                <w:b/>
                <w:color w:val="17365D"/>
                <w:sz w:val="19"/>
              </w:rPr>
              <w:t>Coin model</w:t>
            </w:r>
          </w:p>
        </w:tc>
        <w:tc>
          <w:tcPr>
            <w:tcW w:type="dxa" w:w="3930"/>
            <w:tcMar>
              <w:top w:w="80" w:type="dxa"/>
              <w:start w:w="120" w:type="dxa"/>
              <w:bottom w:w="80" w:type="dxa"/>
              <w:end w:w="120" w:type="dxa"/>
            </w:tcMar>
            <w:vAlign w:val="center"/>
            <w:shd w:fill="F2F4F7"/>
          </w:tcPr>
          <w:p>
            <w:pPr>
              <w:spacing w:after="0"/>
              <w:jc w:val="left"/>
            </w:pPr>
            <w:r>
              <w:rPr>
                <w:rFonts w:ascii="Calibri" w:hAnsi="Calibri"/>
                <w:b/>
                <w:color w:val="17365D"/>
                <w:sz w:val="19"/>
              </w:rPr>
              <w:t>Fungible Asset model</w:t>
            </w:r>
          </w:p>
        </w:tc>
      </w:tr>
      <w:tr>
        <w:trPr>
          <w:cantSplit/>
        </w:trPr>
        <w:tc>
          <w:tcPr>
            <w:tcW w:type="dxa" w:w="1750"/>
            <w:shd w:fill="FBFCFD"/>
          </w:tcPr>
          <w:p>
            <w:pPr>
              <w:spacing w:after="0" w:line="252" w:lineRule="auto"/>
              <w:jc w:val="left"/>
            </w:pPr>
            <w:r>
              <w:rPr>
                <w:rFonts w:ascii="Calibri" w:hAnsi="Calibri"/>
                <w:color w:val="202833"/>
                <w:sz w:val="18"/>
              </w:rPr>
              <w:t>Identity</w:t>
            </w:r>
          </w:p>
        </w:tc>
        <w:tc>
          <w:tcPr>
            <w:tcW w:type="dxa" w:w="3680"/>
            <w:shd w:fill="FBFCFD"/>
          </w:tcPr>
          <w:p>
            <w:pPr>
              <w:spacing w:after="0" w:line="252" w:lineRule="auto"/>
              <w:jc w:val="left"/>
            </w:pPr>
            <w:r>
              <w:rPr>
                <w:rFonts w:ascii="Calibri" w:hAnsi="Calibri"/>
                <w:color w:val="202833"/>
                <w:sz w:val="18"/>
              </w:rPr>
              <w:t>Move type such as 0x1::aptos_coin::AptosCoin.</w:t>
            </w:r>
          </w:p>
        </w:tc>
        <w:tc>
          <w:tcPr>
            <w:tcW w:type="dxa" w:w="3930"/>
            <w:shd w:fill="FBFCFD"/>
          </w:tcPr>
          <w:p>
            <w:pPr>
              <w:spacing w:after="0" w:line="252" w:lineRule="auto"/>
              <w:jc w:val="left"/>
            </w:pPr>
            <w:r>
              <w:rPr>
                <w:rFonts w:ascii="Calibri" w:hAnsi="Calibri"/>
                <w:color w:val="202833"/>
                <w:sz w:val="18"/>
              </w:rPr>
              <w:t>Metadata object address.</w:t>
            </w:r>
          </w:p>
        </w:tc>
      </w:tr>
      <w:tr>
        <w:trPr>
          <w:cantSplit/>
        </w:trPr>
        <w:tc>
          <w:tcPr>
            <w:tcW w:type="dxa" w:w="1750"/>
          </w:tcPr>
          <w:p>
            <w:pPr>
              <w:spacing w:after="0" w:line="252" w:lineRule="auto"/>
              <w:jc w:val="left"/>
            </w:pPr>
            <w:r>
              <w:rPr>
                <w:rFonts w:ascii="Calibri" w:hAnsi="Calibri"/>
                <w:color w:val="202833"/>
                <w:sz w:val="18"/>
              </w:rPr>
              <w:t>Storage</w:t>
            </w:r>
          </w:p>
        </w:tc>
        <w:tc>
          <w:tcPr>
            <w:tcW w:type="dxa" w:w="3680"/>
          </w:tcPr>
          <w:p>
            <w:pPr>
              <w:spacing w:after="0" w:line="252" w:lineRule="auto"/>
              <w:jc w:val="left"/>
            </w:pPr>
            <w:r>
              <w:rPr>
                <w:rFonts w:ascii="Calibri" w:hAnsi="Calibri"/>
                <w:color w:val="202833"/>
                <w:sz w:val="18"/>
              </w:rPr>
              <w:t>CoinStore&lt;CoinType&gt; resource in account.</w:t>
            </w:r>
          </w:p>
        </w:tc>
        <w:tc>
          <w:tcPr>
            <w:tcW w:type="dxa" w:w="3930"/>
          </w:tcPr>
          <w:p>
            <w:pPr>
              <w:spacing w:after="0" w:line="252" w:lineRule="auto"/>
              <w:jc w:val="left"/>
            </w:pPr>
            <w:r>
              <w:rPr>
                <w:rFonts w:ascii="Calibri" w:hAnsi="Calibri"/>
                <w:color w:val="202833"/>
                <w:sz w:val="18"/>
              </w:rPr>
              <w:t>Primary or secondary FungibleStore object.</w:t>
            </w:r>
          </w:p>
        </w:tc>
      </w:tr>
      <w:tr>
        <w:trPr>
          <w:cantSplit/>
        </w:trPr>
        <w:tc>
          <w:tcPr>
            <w:tcW w:type="dxa" w:w="1750"/>
            <w:shd w:fill="FBFCFD"/>
          </w:tcPr>
          <w:p>
            <w:pPr>
              <w:spacing w:after="0" w:line="252" w:lineRule="auto"/>
              <w:jc w:val="left"/>
            </w:pPr>
            <w:r>
              <w:rPr>
                <w:rFonts w:ascii="Calibri" w:hAnsi="Calibri"/>
                <w:color w:val="202833"/>
                <w:sz w:val="18"/>
              </w:rPr>
              <w:t>Recipient setup</w:t>
            </w:r>
          </w:p>
        </w:tc>
        <w:tc>
          <w:tcPr>
            <w:tcW w:type="dxa" w:w="3680"/>
            <w:shd w:fill="FBFCFD"/>
          </w:tcPr>
          <w:p>
            <w:pPr>
              <w:spacing w:after="0" w:line="252" w:lineRule="auto"/>
              <w:jc w:val="left"/>
            </w:pPr>
            <w:r>
              <w:rPr>
                <w:rFonts w:ascii="Calibri" w:hAnsi="Calibri"/>
                <w:color w:val="202833"/>
                <w:sz w:val="18"/>
              </w:rPr>
              <w:t>CoinStore registration may be required.</w:t>
            </w:r>
          </w:p>
        </w:tc>
        <w:tc>
          <w:tcPr>
            <w:tcW w:type="dxa" w:w="3930"/>
            <w:shd w:fill="FBFCFD"/>
          </w:tcPr>
          <w:p>
            <w:pPr>
              <w:spacing w:after="0" w:line="252" w:lineRule="auto"/>
              <w:jc w:val="left"/>
            </w:pPr>
            <w:r>
              <w:rPr>
                <w:rFonts w:ascii="Calibri" w:hAnsi="Calibri"/>
                <w:color w:val="202833"/>
                <w:sz w:val="18"/>
              </w:rPr>
              <w:t>Primary-store-enabled assets can create/reuse the recipient store automatically.</w:t>
            </w:r>
          </w:p>
        </w:tc>
      </w:tr>
      <w:tr>
        <w:trPr>
          <w:cantSplit/>
        </w:trPr>
        <w:tc>
          <w:tcPr>
            <w:tcW w:type="dxa" w:w="1750"/>
          </w:tcPr>
          <w:p>
            <w:pPr>
              <w:spacing w:after="0" w:line="252" w:lineRule="auto"/>
              <w:jc w:val="left"/>
            </w:pPr>
            <w:r>
              <w:rPr>
                <w:rFonts w:ascii="Calibri" w:hAnsi="Calibri"/>
                <w:color w:val="202833"/>
                <w:sz w:val="18"/>
              </w:rPr>
              <w:t>Extensibility</w:t>
            </w:r>
          </w:p>
        </w:tc>
        <w:tc>
          <w:tcPr>
            <w:tcW w:type="dxa" w:w="3680"/>
          </w:tcPr>
          <w:p>
            <w:pPr>
              <w:spacing w:after="0" w:line="252" w:lineRule="auto"/>
              <w:jc w:val="left"/>
            </w:pPr>
            <w:r>
              <w:rPr>
                <w:rFonts w:ascii="Calibri" w:hAnsi="Calibri"/>
                <w:color w:val="202833"/>
                <w:sz w:val="18"/>
              </w:rPr>
              <w:t>Type- and module-based behavior.</w:t>
            </w:r>
          </w:p>
        </w:tc>
        <w:tc>
          <w:tcPr>
            <w:tcW w:type="dxa" w:w="3930"/>
          </w:tcPr>
          <w:p>
            <w:pPr>
              <w:spacing w:after="0" w:line="252" w:lineRule="auto"/>
              <w:jc w:val="left"/>
            </w:pPr>
            <w:r>
              <w:rPr>
                <w:rFonts w:ascii="Calibri" w:hAnsi="Calibri"/>
                <w:color w:val="202833"/>
                <w:sz w:val="18"/>
              </w:rPr>
              <w:t>Object-based metadata plus optional dispatchable transfer logic.</w:t>
            </w:r>
          </w:p>
        </w:tc>
      </w:tr>
      <w:tr>
        <w:trPr>
          <w:cantSplit/>
        </w:trPr>
        <w:tc>
          <w:tcPr>
            <w:tcW w:type="dxa" w:w="1750"/>
            <w:shd w:fill="FBFCFD"/>
          </w:tcPr>
          <w:p>
            <w:pPr>
              <w:spacing w:after="0" w:line="252" w:lineRule="auto"/>
              <w:jc w:val="left"/>
            </w:pPr>
            <w:r>
              <w:rPr>
                <w:rFonts w:ascii="Calibri" w:hAnsi="Calibri"/>
                <w:color w:val="202833"/>
                <w:sz w:val="18"/>
              </w:rPr>
              <w:t>Indexer requirement</w:t>
            </w:r>
          </w:p>
        </w:tc>
        <w:tc>
          <w:tcPr>
            <w:tcW w:type="dxa" w:w="3680"/>
            <w:shd w:fill="FBFCFD"/>
          </w:tcPr>
          <w:p>
            <w:pPr>
              <w:spacing w:after="0" w:line="252" w:lineRule="auto"/>
              <w:jc w:val="left"/>
            </w:pPr>
            <w:r>
              <w:rPr>
                <w:rFonts w:ascii="Calibri" w:hAnsi="Calibri"/>
                <w:color w:val="202833"/>
                <w:sz w:val="18"/>
              </w:rPr>
              <w:t>Read CoinStore balances and coin events.</w:t>
            </w:r>
          </w:p>
        </w:tc>
        <w:tc>
          <w:tcPr>
            <w:tcW w:type="dxa" w:w="3930"/>
            <w:shd w:fill="FBFCFD"/>
          </w:tcPr>
          <w:p>
            <w:pPr>
              <w:spacing w:after="0" w:line="252" w:lineRule="auto"/>
              <w:jc w:val="left"/>
            </w:pPr>
            <w:r>
              <w:rPr>
                <w:rFonts w:ascii="Calibri" w:hAnsi="Calibri"/>
                <w:color w:val="202833"/>
                <w:sz w:val="18"/>
              </w:rPr>
              <w:t>Read metadata, stores, FA events, and any paired-coin conversion state.</w:t>
            </w:r>
          </w:p>
        </w:tc>
      </w:tr>
      <w:tr>
        <w:trPr>
          <w:cantSplit/>
        </w:trPr>
        <w:tc>
          <w:tcPr>
            <w:tcW w:type="dxa" w:w="1750"/>
          </w:tcPr>
          <w:p>
            <w:pPr>
              <w:spacing w:after="0" w:line="252" w:lineRule="auto"/>
              <w:jc w:val="left"/>
            </w:pPr>
            <w:r>
              <w:rPr>
                <w:rFonts w:ascii="Calibri" w:hAnsi="Calibri"/>
                <w:color w:val="202833"/>
                <w:sz w:val="18"/>
              </w:rPr>
              <w:t>Rise risk</w:t>
            </w:r>
          </w:p>
        </w:tc>
        <w:tc>
          <w:tcPr>
            <w:tcW w:type="dxa" w:w="3680"/>
          </w:tcPr>
          <w:p>
            <w:pPr>
              <w:spacing w:after="0" w:line="252" w:lineRule="auto"/>
              <w:jc w:val="left"/>
            </w:pPr>
            <w:r>
              <w:rPr>
                <w:rFonts w:ascii="Calibri" w:hAnsi="Calibri"/>
                <w:color w:val="202833"/>
                <w:sz w:val="18"/>
              </w:rPr>
              <w:t>Older client likely understands this model.</w:t>
            </w:r>
          </w:p>
        </w:tc>
        <w:tc>
          <w:tcPr>
            <w:tcW w:type="dxa" w:w="3930"/>
          </w:tcPr>
          <w:p>
            <w:pPr>
              <w:spacing w:after="0" w:line="252" w:lineRule="auto"/>
              <w:jc w:val="left"/>
            </w:pPr>
            <w:r>
              <w:rPr>
                <w:rFonts w:ascii="Calibri" w:hAnsi="Calibri"/>
                <w:color w:val="202833"/>
                <w:sz w:val="18"/>
              </w:rPr>
              <w:t>Complete support cannot be assumed from 2022-2023 public materials.</w:t>
            </w:r>
          </w:p>
        </w:tc>
      </w:tr>
    </w:tbl>
    <w:p>
      <w:pPr>
        <w:widowControl/>
        <w:spacing w:after="0"/>
      </w:pPr>
    </w:p>
    <w:p>
      <w:pPr>
        <w:pStyle w:val="Heading2"/>
        <w:keepNext/>
        <w:widowControl/>
      </w:pPr>
      <w:r>
        <w:t>6.3 2025 Coin-to-FA migration</w:t>
      </w:r>
    </w:p>
    <w:p>
      <w:pPr>
        <w:widowControl/>
      </w:pPr>
      <w:r>
        <w:rPr>
          <w:rFonts w:ascii="Calibri" w:hAnsi="Calibri"/>
          <w:color w:val="202833"/>
        </w:rPr>
        <w:t>Aptos documentation states that Coin balances migrated automatically to the FA standard in staged batches during June and July 2025, including APT. Paired mappings are immutable, and off-chain services must account for a user potentially holding both coin and paired-FA balances, then present their sum correctly. A pre-migration wallet or indexer can therefore undercount, double-count, hide, or fail to transfer an asset after the protocol transition. [18]</w:t>
      </w:r>
    </w:p>
    <w:tbl>
      <w:tblPr>
        <w:tblW w:type="dxa" w:w="9360"/>
        <w:jc w:val="left"/>
        <w:tblLayout w:type="fixed"/>
        <w:tblLook w:firstColumn="1" w:firstRow="1" w:lastColumn="0" w:lastRow="0" w:noHBand="0" w:noVBand="1" w:val="04A0"/>
        <w:tblInd w:w="120" w:type="dxa"/>
        <w:tblBorders>
          <w:top w:val="single" w:sz="7" w:space="0" w:color="8A5B00"/>
          <w:left w:val="single" w:sz="7" w:space="0" w:color="8A5B00"/>
          <w:bottom w:val="single" w:sz="7" w:space="0" w:color="8A5B00"/>
          <w:right w:val="single" w:sz="7" w:space="0" w:color="8A5B00"/>
          <w:insideH w:val="single" w:sz="7" w:space="0" w:color="8A5B00"/>
          <w:insideV w:val="single" w:sz="7" w:space="0" w:color="8A5B00"/>
        </w:tblBorders>
      </w:tblPr>
      <w:tblGrid>
        <w:gridCol w:w="9360"/>
      </w:tblGrid>
      <w:tr>
        <w:trPr>
          <w:cantSplit/>
        </w:trPr>
        <w:tc>
          <w:tcPr>
            <w:tcW w:type="dxa" w:w="9360"/>
            <w:tcMar>
              <w:top w:w="80" w:type="dxa"/>
              <w:start w:w="120" w:type="dxa"/>
              <w:bottom w:w="80" w:type="dxa"/>
              <w:end w:w="120" w:type="dxa"/>
            </w:tcMar>
            <w:vAlign w:val="center"/>
            <w:shd w:fill="FFF5D6"/>
          </w:tcPr>
          <w:p>
            <w:pPr>
              <w:spacing w:after="60"/>
            </w:pPr>
            <w:r>
              <w:rPr>
                <w:rFonts w:ascii="Calibri" w:hAnsi="Calibri"/>
                <w:b/>
                <w:color w:val="8A5B00"/>
              </w:rPr>
              <w:t>Critical compatibility test</w:t>
            </w:r>
          </w:p>
          <w:p>
            <w:pPr>
              <w:spacing w:after="0" w:line="264" w:lineRule="auto"/>
            </w:pPr>
            <w:r>
              <w:rPr>
                <w:rFonts w:ascii="Calibri" w:hAnsi="Calibri"/>
                <w:color w:val="202833"/>
              </w:rPr>
              <w:t>Do not assume that a visible APT balance proves full 2026 compatibility. Test a current native USDC or USDt balance, a current FA transfer, a Digital Asset, a modern dApp connection, and accurate transaction simulation in a low-value account.</w:t>
            </w:r>
          </w:p>
        </w:tc>
      </w:tr>
    </w:tbl>
    <w:p>
      <w:pPr>
        <w:widowControl/>
        <w:spacing w:after="0"/>
      </w:pPr>
    </w:p>
    <w:p>
      <w:pPr>
        <w:pStyle w:val="Heading2"/>
        <w:keepNext/>
        <w:widowControl/>
      </w:pPr>
      <w:r>
        <w:t>6.4 Digital Asset standard versus legacy NFT standard</w:t>
      </w:r>
    </w:p>
    <w:p>
      <w:pPr>
        <w:widowControl/>
      </w:pPr>
      <w:r>
        <w:rPr>
          <w:rFonts w:ascii="Calibri" w:hAnsi="Calibri"/>
          <w:color w:val="202833"/>
        </w:rPr>
        <w:t>Aptos now recommends the object-based Digital Asset standard for new NFT and semi-fungible collections. The older Token standard remains queryable as legacy data. Rise's 2022 FAQ describes opt-in receiving and legacy gallery behavior, while current Digital Assets use objects with their own addresses and extensible resources. An NFT may therefore exist on-chain without correct gallery rendering, transfer support, collection grouping, media retrieval, or marketplace integration in an old client. [1][20][21]</w:t>
      </w:r>
    </w:p>
    <w:p>
      <w:pPr>
        <w:pStyle w:val="Heading1"/>
        <w:keepNext/>
        <w:widowControl/>
      </w:pPr>
      <w:r>
        <w:t>7. Portfolio display, prices, and asset verification</w:t>
      </w:r>
    </w:p>
    <w:p>
      <w:pPr>
        <w:widowControl/>
      </w:pPr>
      <w:r>
        <w:rPr>
          <w:rFonts w:ascii="Calibri" w:hAnsi="Calibri"/>
          <w:color w:val="202833"/>
        </w:rPr>
        <w:t>Rise advertises a portfolio view, token prices, NFT gallery, readable activity, and the ability to add any Aptos token. These conveniences depend on data beyond the cryptographic ledger: metadata registries, indexer schemas, price feeds, media gateways, token lists, and human-readable transaction classifiers. A display error does not necessarily mean the asset is lost, and a polished display does not prove the asset is genuine. [1][10][11][32]</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850"/>
        <w:gridCol w:w="3510"/>
        <w:gridCol w:w="4000"/>
      </w:tblGrid>
      <w:tr>
        <w:trPr>
          <w:tblHeader w:val="true"/>
        </w:trPr>
        <w:tc>
          <w:tcPr>
            <w:tcW w:type="dxa" w:w="1850"/>
            <w:tcMar>
              <w:top w:w="80" w:type="dxa"/>
              <w:start w:w="120" w:type="dxa"/>
              <w:bottom w:w="80" w:type="dxa"/>
              <w:end w:w="120" w:type="dxa"/>
            </w:tcMar>
            <w:vAlign w:val="center"/>
            <w:shd w:fill="F2F4F7"/>
          </w:tcPr>
          <w:p>
            <w:pPr>
              <w:spacing w:after="0"/>
              <w:jc w:val="left"/>
            </w:pPr>
            <w:r>
              <w:rPr>
                <w:rFonts w:ascii="Calibri" w:hAnsi="Calibri"/>
                <w:b/>
                <w:color w:val="17365D"/>
                <w:sz w:val="19"/>
              </w:rPr>
              <w:t>Displayed element</w:t>
            </w:r>
          </w:p>
        </w:tc>
        <w:tc>
          <w:tcPr>
            <w:tcW w:type="dxa" w:w="3510"/>
            <w:tcMar>
              <w:top w:w="80" w:type="dxa"/>
              <w:start w:w="120" w:type="dxa"/>
              <w:bottom w:w="80" w:type="dxa"/>
              <w:end w:w="120" w:type="dxa"/>
            </w:tcMar>
            <w:vAlign w:val="center"/>
            <w:shd w:fill="F2F4F7"/>
          </w:tcPr>
          <w:p>
            <w:pPr>
              <w:spacing w:after="0"/>
              <w:jc w:val="left"/>
            </w:pPr>
            <w:r>
              <w:rPr>
                <w:rFonts w:ascii="Calibri" w:hAnsi="Calibri"/>
                <w:b/>
                <w:color w:val="17365D"/>
                <w:sz w:val="19"/>
              </w:rPr>
              <w:t>Likely data source</w:t>
            </w:r>
          </w:p>
        </w:tc>
        <w:tc>
          <w:tcPr>
            <w:tcW w:type="dxa" w:w="4000"/>
            <w:tcMar>
              <w:top w:w="80" w:type="dxa"/>
              <w:start w:w="120" w:type="dxa"/>
              <w:bottom w:w="80" w:type="dxa"/>
              <w:end w:w="120" w:type="dxa"/>
            </w:tcMar>
            <w:vAlign w:val="center"/>
            <w:shd w:fill="F2F4F7"/>
          </w:tcPr>
          <w:p>
            <w:pPr>
              <w:spacing w:after="0"/>
              <w:jc w:val="left"/>
            </w:pPr>
            <w:r>
              <w:rPr>
                <w:rFonts w:ascii="Calibri" w:hAnsi="Calibri"/>
                <w:b/>
                <w:color w:val="17365D"/>
                <w:sz w:val="19"/>
              </w:rPr>
              <w:t>Failure mode</w:t>
            </w:r>
          </w:p>
        </w:tc>
      </w:tr>
      <w:tr>
        <w:trPr>
          <w:cantSplit/>
        </w:trPr>
        <w:tc>
          <w:tcPr>
            <w:tcW w:type="dxa" w:w="1850"/>
            <w:shd w:fill="FBFCFD"/>
          </w:tcPr>
          <w:p>
            <w:pPr>
              <w:spacing w:after="0" w:line="252" w:lineRule="auto"/>
              <w:jc w:val="left"/>
            </w:pPr>
            <w:r>
              <w:rPr>
                <w:rFonts w:ascii="Calibri" w:hAnsi="Calibri"/>
                <w:color w:val="202833"/>
                <w:sz w:val="18"/>
              </w:rPr>
              <w:t>APT/FA balance</w:t>
            </w:r>
          </w:p>
        </w:tc>
        <w:tc>
          <w:tcPr>
            <w:tcW w:type="dxa" w:w="3510"/>
            <w:shd w:fill="FBFCFD"/>
          </w:tcPr>
          <w:p>
            <w:pPr>
              <w:spacing w:after="0" w:line="252" w:lineRule="auto"/>
              <w:jc w:val="left"/>
            </w:pPr>
            <w:r>
              <w:rPr>
                <w:rFonts w:ascii="Calibri" w:hAnsi="Calibri"/>
                <w:color w:val="202833"/>
                <w:sz w:val="18"/>
              </w:rPr>
              <w:t>Fullnode resources plus indexer aggregation.</w:t>
            </w:r>
          </w:p>
        </w:tc>
        <w:tc>
          <w:tcPr>
            <w:tcW w:type="dxa" w:w="4000"/>
            <w:shd w:fill="FBFCFD"/>
          </w:tcPr>
          <w:p>
            <w:pPr>
              <w:spacing w:after="0" w:line="252" w:lineRule="auto"/>
              <w:jc w:val="left"/>
            </w:pPr>
            <w:r>
              <w:rPr>
                <w:rFonts w:ascii="Calibri" w:hAnsi="Calibri"/>
                <w:color w:val="202833"/>
                <w:sz w:val="18"/>
              </w:rPr>
              <w:t>Stale RPC, migration mismatch, wrong network, or missing FA index support.</w:t>
            </w:r>
          </w:p>
        </w:tc>
      </w:tr>
      <w:tr>
        <w:trPr>
          <w:cantSplit/>
        </w:trPr>
        <w:tc>
          <w:tcPr>
            <w:tcW w:type="dxa" w:w="1850"/>
          </w:tcPr>
          <w:p>
            <w:pPr>
              <w:spacing w:after="0" w:line="252" w:lineRule="auto"/>
              <w:jc w:val="left"/>
            </w:pPr>
            <w:r>
              <w:rPr>
                <w:rFonts w:ascii="Calibri" w:hAnsi="Calibri"/>
                <w:color w:val="202833"/>
                <w:sz w:val="18"/>
              </w:rPr>
              <w:t>Token symbol/decimals</w:t>
            </w:r>
          </w:p>
        </w:tc>
        <w:tc>
          <w:tcPr>
            <w:tcW w:type="dxa" w:w="3510"/>
          </w:tcPr>
          <w:p>
            <w:pPr>
              <w:spacing w:after="0" w:line="252" w:lineRule="auto"/>
              <w:jc w:val="left"/>
            </w:pPr>
            <w:r>
              <w:rPr>
                <w:rFonts w:ascii="Calibri" w:hAnsi="Calibri"/>
                <w:color w:val="202833"/>
                <w:sz w:val="18"/>
              </w:rPr>
              <w:t>On-chain metadata and/or token list.</w:t>
            </w:r>
          </w:p>
        </w:tc>
        <w:tc>
          <w:tcPr>
            <w:tcW w:type="dxa" w:w="4000"/>
          </w:tcPr>
          <w:p>
            <w:pPr>
              <w:spacing w:after="0" w:line="252" w:lineRule="auto"/>
              <w:jc w:val="left"/>
            </w:pPr>
            <w:r>
              <w:rPr>
                <w:rFonts w:ascii="Calibri" w:hAnsi="Calibri"/>
                <w:color w:val="202833"/>
                <w:sz w:val="18"/>
              </w:rPr>
              <w:t>Copied symbol, wrong decimal scaling, or stale metadata.</w:t>
            </w:r>
          </w:p>
        </w:tc>
      </w:tr>
      <w:tr>
        <w:trPr>
          <w:cantSplit/>
        </w:trPr>
        <w:tc>
          <w:tcPr>
            <w:tcW w:type="dxa" w:w="1850"/>
            <w:shd w:fill="FBFCFD"/>
          </w:tcPr>
          <w:p>
            <w:pPr>
              <w:spacing w:after="0" w:line="252" w:lineRule="auto"/>
              <w:jc w:val="left"/>
            </w:pPr>
            <w:r>
              <w:rPr>
                <w:rFonts w:ascii="Calibri" w:hAnsi="Calibri"/>
                <w:color w:val="202833"/>
                <w:sz w:val="18"/>
              </w:rPr>
              <w:t>Fiat valuation</w:t>
            </w:r>
          </w:p>
        </w:tc>
        <w:tc>
          <w:tcPr>
            <w:tcW w:type="dxa" w:w="3510"/>
            <w:shd w:fill="FBFCFD"/>
          </w:tcPr>
          <w:p>
            <w:pPr>
              <w:spacing w:after="0" w:line="252" w:lineRule="auto"/>
              <w:jc w:val="left"/>
            </w:pPr>
            <w:r>
              <w:rPr>
                <w:rFonts w:ascii="Calibri" w:hAnsi="Calibri"/>
                <w:color w:val="202833"/>
                <w:sz w:val="18"/>
              </w:rPr>
              <w:t>External market-price API and symbol/identifier mapping.</w:t>
            </w:r>
          </w:p>
        </w:tc>
        <w:tc>
          <w:tcPr>
            <w:tcW w:type="dxa" w:w="4000"/>
            <w:shd w:fill="FBFCFD"/>
          </w:tcPr>
          <w:p>
            <w:pPr>
              <w:spacing w:after="0" w:line="252" w:lineRule="auto"/>
              <w:jc w:val="left"/>
            </w:pPr>
            <w:r>
              <w:rPr>
                <w:rFonts w:ascii="Calibri" w:hAnsi="Calibri"/>
                <w:color w:val="202833"/>
                <w:sz w:val="18"/>
              </w:rPr>
              <w:t>No market, wrong asset mapping, illiquid price, or unavailable service.</w:t>
            </w:r>
          </w:p>
        </w:tc>
      </w:tr>
      <w:tr>
        <w:trPr>
          <w:cantSplit/>
        </w:trPr>
        <w:tc>
          <w:tcPr>
            <w:tcW w:type="dxa" w:w="1850"/>
          </w:tcPr>
          <w:p>
            <w:pPr>
              <w:spacing w:after="0" w:line="252" w:lineRule="auto"/>
              <w:jc w:val="left"/>
            </w:pPr>
            <w:r>
              <w:rPr>
                <w:rFonts w:ascii="Calibri" w:hAnsi="Calibri"/>
                <w:color w:val="202833"/>
                <w:sz w:val="18"/>
              </w:rPr>
              <w:t>NFT image/traits</w:t>
            </w:r>
          </w:p>
        </w:tc>
        <w:tc>
          <w:tcPr>
            <w:tcW w:type="dxa" w:w="3510"/>
          </w:tcPr>
          <w:p>
            <w:pPr>
              <w:spacing w:after="0" w:line="252" w:lineRule="auto"/>
              <w:jc w:val="left"/>
            </w:pPr>
            <w:r>
              <w:rPr>
                <w:rFonts w:ascii="Calibri" w:hAnsi="Calibri"/>
                <w:color w:val="202833"/>
                <w:sz w:val="18"/>
              </w:rPr>
              <w:t>On-chain URI plus IPFS/HTTP media and indexer.</w:t>
            </w:r>
          </w:p>
        </w:tc>
        <w:tc>
          <w:tcPr>
            <w:tcW w:type="dxa" w:w="4000"/>
          </w:tcPr>
          <w:p>
            <w:pPr>
              <w:spacing w:after="0" w:line="252" w:lineRule="auto"/>
              <w:jc w:val="left"/>
            </w:pPr>
            <w:r>
              <w:rPr>
                <w:rFonts w:ascii="Calibri" w:hAnsi="Calibri"/>
                <w:color w:val="202833"/>
                <w:sz w:val="18"/>
              </w:rPr>
              <w:t>Broken link, malicious content, unavailable gateway, or unsupported DA version.</w:t>
            </w:r>
          </w:p>
        </w:tc>
      </w:tr>
      <w:tr>
        <w:trPr>
          <w:cantSplit/>
        </w:trPr>
        <w:tc>
          <w:tcPr>
            <w:tcW w:type="dxa" w:w="1850"/>
            <w:shd w:fill="FBFCFD"/>
          </w:tcPr>
          <w:p>
            <w:pPr>
              <w:spacing w:after="0" w:line="252" w:lineRule="auto"/>
              <w:jc w:val="left"/>
            </w:pPr>
            <w:r>
              <w:rPr>
                <w:rFonts w:ascii="Calibri" w:hAnsi="Calibri"/>
                <w:color w:val="202833"/>
                <w:sz w:val="18"/>
              </w:rPr>
              <w:t>Readable activity</w:t>
            </w:r>
          </w:p>
        </w:tc>
        <w:tc>
          <w:tcPr>
            <w:tcW w:type="dxa" w:w="3510"/>
            <w:shd w:fill="FBFCFD"/>
          </w:tcPr>
          <w:p>
            <w:pPr>
              <w:spacing w:after="0" w:line="252" w:lineRule="auto"/>
              <w:jc w:val="left"/>
            </w:pPr>
            <w:r>
              <w:rPr>
                <w:rFonts w:ascii="Calibri" w:hAnsi="Calibri"/>
                <w:color w:val="202833"/>
                <w:sz w:val="18"/>
              </w:rPr>
              <w:t>Indexer events and transaction classifier.</w:t>
            </w:r>
          </w:p>
        </w:tc>
        <w:tc>
          <w:tcPr>
            <w:tcW w:type="dxa" w:w="4000"/>
            <w:shd w:fill="FBFCFD"/>
          </w:tcPr>
          <w:p>
            <w:pPr>
              <w:spacing w:after="0" w:line="252" w:lineRule="auto"/>
              <w:jc w:val="left"/>
            </w:pPr>
            <w:r>
              <w:rPr>
                <w:rFonts w:ascii="Calibri" w:hAnsi="Calibri"/>
                <w:color w:val="202833"/>
                <w:sz w:val="18"/>
              </w:rPr>
              <w:t>Unknown Move call, misleading label, or delayed history.</w:t>
            </w:r>
          </w:p>
        </w:tc>
      </w:tr>
      <w:tr>
        <w:trPr>
          <w:cantSplit/>
        </w:trPr>
        <w:tc>
          <w:tcPr>
            <w:tcW w:type="dxa" w:w="1850"/>
          </w:tcPr>
          <w:p>
            <w:pPr>
              <w:spacing w:after="0" w:line="252" w:lineRule="auto"/>
              <w:jc w:val="left"/>
            </w:pPr>
            <w:r>
              <w:rPr>
                <w:rFonts w:ascii="Calibri" w:hAnsi="Calibri"/>
                <w:color w:val="202833"/>
                <w:sz w:val="18"/>
              </w:rPr>
              <w:t>Aptos Name</w:t>
            </w:r>
          </w:p>
        </w:tc>
        <w:tc>
          <w:tcPr>
            <w:tcW w:type="dxa" w:w="3510"/>
          </w:tcPr>
          <w:p>
            <w:pPr>
              <w:spacing w:after="0" w:line="252" w:lineRule="auto"/>
              <w:jc w:val="left"/>
            </w:pPr>
            <w:r>
              <w:rPr>
                <w:rFonts w:ascii="Calibri" w:hAnsi="Calibri"/>
                <w:color w:val="202833"/>
                <w:sz w:val="18"/>
              </w:rPr>
              <w:t>ANS registry and indexer lookup.</w:t>
            </w:r>
          </w:p>
        </w:tc>
        <w:tc>
          <w:tcPr>
            <w:tcW w:type="dxa" w:w="4000"/>
          </w:tcPr>
          <w:p>
            <w:pPr>
              <w:spacing w:after="0" w:line="252" w:lineRule="auto"/>
              <w:jc w:val="left"/>
            </w:pPr>
            <w:r>
              <w:rPr>
                <w:rFonts w:ascii="Calibri" w:hAnsi="Calibri"/>
                <w:color w:val="202833"/>
                <w:sz w:val="18"/>
              </w:rPr>
              <w:t>Expired name, stale cache, or unexpected reverse record.</w:t>
            </w:r>
          </w:p>
        </w:tc>
      </w:tr>
    </w:tbl>
    <w:p>
      <w:pPr>
        <w:widowControl/>
        <w:spacing w:after="0"/>
      </w:pPr>
    </w:p>
    <w:p>
      <w:pPr>
        <w:pStyle w:val="Heading2"/>
        <w:keepNext/>
        <w:widowControl/>
      </w:pPr>
      <w:r>
        <w:t>7.1 Independent asset-verification procedure</w:t>
      </w:r>
    </w:p>
    <w:p>
      <w:pPr>
        <w:widowControl/>
        <w:numPr>
          <w:ilvl w:val="0"/>
          <w:numId w:val="14"/>
        </w:numPr>
      </w:pPr>
      <w:r>
        <w:rPr>
          <w:rFonts w:ascii="Calibri" w:hAnsi="Calibri"/>
          <w:b/>
          <w:color w:val="202833"/>
        </w:rPr>
        <w:t xml:space="preserve">Confirm mainnet. </w:t>
      </w:r>
      <w:r>
        <w:rPr>
          <w:rFonts w:ascii="Calibri" w:hAnsi="Calibri"/>
          <w:color w:val="202833"/>
        </w:rPr>
        <w:t>Verify that Rise and the explorer are using Aptos mainnet, not testnet or devnet.</w:t>
      </w:r>
    </w:p>
    <w:p>
      <w:pPr>
        <w:widowControl/>
        <w:numPr>
          <w:ilvl w:val="0"/>
          <w:numId w:val="14"/>
        </w:numPr>
      </w:pPr>
      <w:r>
        <w:rPr>
          <w:rFonts w:ascii="Calibri" w:hAnsi="Calibri"/>
          <w:b/>
          <w:color w:val="202833"/>
        </w:rPr>
        <w:t xml:space="preserve">Copy the full account address. </w:t>
      </w:r>
      <w:r>
        <w:rPr>
          <w:rFonts w:ascii="Calibri" w:hAnsi="Calibri"/>
          <w:color w:val="202833"/>
        </w:rPr>
        <w:t>Use the address, not a truncated screenshot, to inspect on-chain resources and balances.</w:t>
      </w:r>
    </w:p>
    <w:p>
      <w:pPr>
        <w:widowControl/>
        <w:numPr>
          <w:ilvl w:val="0"/>
          <w:numId w:val="14"/>
        </w:numPr>
      </w:pPr>
      <w:r>
        <w:rPr>
          <w:rFonts w:ascii="Calibri" w:hAnsi="Calibri"/>
          <w:b/>
          <w:color w:val="202833"/>
        </w:rPr>
        <w:t xml:space="preserve">Identify the standard. </w:t>
      </w:r>
      <w:r>
        <w:rPr>
          <w:rFonts w:ascii="Calibri" w:hAnsi="Calibri"/>
          <w:color w:val="202833"/>
        </w:rPr>
        <w:t>Determine whether the balance is APT, paired Coin/FA, vanilla FA, dispatchable FA, Digital Asset, or legacy Token.</w:t>
      </w:r>
    </w:p>
    <w:p>
      <w:pPr>
        <w:widowControl/>
        <w:numPr>
          <w:ilvl w:val="0"/>
          <w:numId w:val="14"/>
        </w:numPr>
      </w:pPr>
      <w:r>
        <w:rPr>
          <w:rFonts w:ascii="Calibri" w:hAnsi="Calibri"/>
          <w:b/>
          <w:color w:val="202833"/>
        </w:rPr>
        <w:t xml:space="preserve">Verify the canonical identifier. </w:t>
      </w:r>
      <w:r>
        <w:rPr>
          <w:rFonts w:ascii="Calibri" w:hAnsi="Calibri"/>
          <w:color w:val="202833"/>
        </w:rPr>
        <w:t>Use the issuer's official documentation for the metadata/object address or Move type.</w:t>
      </w:r>
    </w:p>
    <w:p>
      <w:pPr>
        <w:widowControl/>
        <w:numPr>
          <w:ilvl w:val="0"/>
          <w:numId w:val="14"/>
        </w:numPr>
      </w:pPr>
      <w:r>
        <w:rPr>
          <w:rFonts w:ascii="Calibri" w:hAnsi="Calibri"/>
          <w:b/>
          <w:color w:val="202833"/>
        </w:rPr>
        <w:t xml:space="preserve">Compare independent views. </w:t>
      </w:r>
      <w:r>
        <w:rPr>
          <w:rFonts w:ascii="Calibri" w:hAnsi="Calibri"/>
          <w:color w:val="202833"/>
        </w:rPr>
        <w:t>Check a current Aptos explorer or a second maintained wallet without exposing the private key to an untrusted site.</w:t>
      </w:r>
    </w:p>
    <w:p>
      <w:pPr>
        <w:widowControl/>
        <w:numPr>
          <w:ilvl w:val="0"/>
          <w:numId w:val="14"/>
        </w:numPr>
      </w:pPr>
      <w:r>
        <w:rPr>
          <w:rFonts w:ascii="Calibri" w:hAnsi="Calibri"/>
          <w:b/>
          <w:color w:val="202833"/>
        </w:rPr>
        <w:t xml:space="preserve">Test the exact action. </w:t>
      </w:r>
      <w:r>
        <w:rPr>
          <w:rFonts w:ascii="Calibri" w:hAnsi="Calibri"/>
          <w:color w:val="202833"/>
        </w:rPr>
        <w:t>A small receive, send, swap, or dApp operation proves more than passive display.</w:t>
      </w:r>
    </w:p>
    <w:p>
      <w:pPr>
        <w:widowControl/>
        <w:numPr>
          <w:ilvl w:val="0"/>
          <w:numId w:val="14"/>
        </w:numPr>
      </w:pPr>
      <w:r>
        <w:rPr>
          <w:rFonts w:ascii="Calibri" w:hAnsi="Calibri"/>
          <w:b/>
          <w:color w:val="202833"/>
        </w:rPr>
        <w:t xml:space="preserve">Preserve evidence. </w:t>
      </w:r>
      <w:r>
        <w:rPr>
          <w:rFonts w:ascii="Calibri" w:hAnsi="Calibri"/>
          <w:color w:val="202833"/>
        </w:rPr>
        <w:t>Record transaction hash, version, sender, recipient, asset identifier, amount, gas, events, and success status.</w:t>
      </w:r>
    </w:p>
    <w:p>
      <w:pPr>
        <w:pStyle w:val="Heading1"/>
        <w:keepNext/>
        <w:pageBreakBefore/>
        <w:widowControl/>
      </w:pPr>
      <w:r>
        <w:t>8. Transactions, gas, execution, and finality</w:t>
      </w:r>
    </w:p>
    <w:p>
      <w:pPr>
        <w:pStyle w:val="Heading2"/>
        <w:keepNext/>
        <w:widowControl/>
      </w:pPr>
      <w:r>
        <w:t>8.1 Signed transaction anatomy</w:t>
      </w:r>
    </w:p>
    <w:p>
      <w:pPr>
        <w:widowControl/>
      </w:pPr>
      <w:r>
        <w:rPr>
          <w:rFonts w:ascii="Calibri" w:hAnsi="Calibri"/>
          <w:color w:val="202833"/>
        </w:rPr>
        <w:t>A transaction payload defines the Move operation, while the signed transaction envelope also includes sender, replay protection, gas configuration, expiration, chain ID, and signature. Aptos uses Binary Canonical Serialization for signing and network transport. Rise's public integration example constructs an entry_function_payload for 0x1::coin::transfer, then asks window.rise.signTransaction() to return the public key and signed bytes. [7][14][15]</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800"/>
        <w:gridCol w:w="3500"/>
        <w:gridCol w:w="4060"/>
      </w:tblGrid>
      <w:tr>
        <w:trPr>
          <w:tblHeader w:val="true"/>
        </w:trPr>
        <w:tc>
          <w:tcPr>
            <w:tcW w:type="dxa" w:w="1800"/>
            <w:tcMar>
              <w:top w:w="80" w:type="dxa"/>
              <w:start w:w="120" w:type="dxa"/>
              <w:bottom w:w="80" w:type="dxa"/>
              <w:end w:w="120" w:type="dxa"/>
            </w:tcMar>
            <w:vAlign w:val="center"/>
            <w:shd w:fill="F2F4F7"/>
          </w:tcPr>
          <w:p>
            <w:pPr>
              <w:spacing w:after="0"/>
              <w:jc w:val="left"/>
            </w:pPr>
            <w:r>
              <w:rPr>
                <w:rFonts w:ascii="Calibri" w:hAnsi="Calibri"/>
                <w:b/>
                <w:color w:val="17365D"/>
                <w:sz w:val="19"/>
              </w:rPr>
              <w:t>Field</w:t>
            </w:r>
          </w:p>
        </w:tc>
        <w:tc>
          <w:tcPr>
            <w:tcW w:type="dxa" w:w="3500"/>
            <w:tcMar>
              <w:top w:w="80" w:type="dxa"/>
              <w:start w:w="120" w:type="dxa"/>
              <w:bottom w:w="80" w:type="dxa"/>
              <w:end w:w="120" w:type="dxa"/>
            </w:tcMar>
            <w:vAlign w:val="center"/>
            <w:shd w:fill="F2F4F7"/>
          </w:tcPr>
          <w:p>
            <w:pPr>
              <w:spacing w:after="0"/>
              <w:jc w:val="left"/>
            </w:pPr>
            <w:r>
              <w:rPr>
                <w:rFonts w:ascii="Calibri" w:hAnsi="Calibri"/>
                <w:b/>
                <w:color w:val="17365D"/>
                <w:sz w:val="19"/>
              </w:rPr>
              <w:t>Purpose</w:t>
            </w:r>
          </w:p>
        </w:tc>
        <w:tc>
          <w:tcPr>
            <w:tcW w:type="dxa" w:w="4060"/>
            <w:tcMar>
              <w:top w:w="80" w:type="dxa"/>
              <w:start w:w="120" w:type="dxa"/>
              <w:bottom w:w="80" w:type="dxa"/>
              <w:end w:w="120" w:type="dxa"/>
            </w:tcMar>
            <w:vAlign w:val="center"/>
            <w:shd w:fill="F2F4F7"/>
          </w:tcPr>
          <w:p>
            <w:pPr>
              <w:spacing w:after="0"/>
              <w:jc w:val="left"/>
            </w:pPr>
            <w:r>
              <w:rPr>
                <w:rFonts w:ascii="Calibri" w:hAnsi="Calibri"/>
                <w:b/>
                <w:color w:val="17365D"/>
                <w:sz w:val="19"/>
              </w:rPr>
              <w:t>User-facing risk</w:t>
            </w:r>
          </w:p>
        </w:tc>
      </w:tr>
      <w:tr>
        <w:trPr>
          <w:cantSplit/>
        </w:trPr>
        <w:tc>
          <w:tcPr>
            <w:tcW w:type="dxa" w:w="1800"/>
            <w:shd w:fill="FBFCFD"/>
          </w:tcPr>
          <w:p>
            <w:pPr>
              <w:spacing w:after="0" w:line="252" w:lineRule="auto"/>
              <w:jc w:val="left"/>
            </w:pPr>
            <w:r>
              <w:rPr>
                <w:rFonts w:ascii="Calibri" w:hAnsi="Calibri"/>
                <w:color w:val="202833"/>
                <w:sz w:val="18"/>
              </w:rPr>
              <w:t>Sender</w:t>
            </w:r>
          </w:p>
        </w:tc>
        <w:tc>
          <w:tcPr>
            <w:tcW w:type="dxa" w:w="3500"/>
            <w:shd w:fill="FBFCFD"/>
          </w:tcPr>
          <w:p>
            <w:pPr>
              <w:spacing w:after="0" w:line="252" w:lineRule="auto"/>
              <w:jc w:val="left"/>
            </w:pPr>
            <w:r>
              <w:rPr>
                <w:rFonts w:ascii="Calibri" w:hAnsi="Calibri"/>
                <w:color w:val="202833"/>
                <w:sz w:val="18"/>
              </w:rPr>
              <w:t>Account authorizing the transaction.</w:t>
            </w:r>
          </w:p>
        </w:tc>
        <w:tc>
          <w:tcPr>
            <w:tcW w:type="dxa" w:w="4060"/>
            <w:shd w:fill="FBFCFD"/>
          </w:tcPr>
          <w:p>
            <w:pPr>
              <w:spacing w:after="0" w:line="252" w:lineRule="auto"/>
              <w:jc w:val="left"/>
            </w:pPr>
            <w:r>
              <w:rPr>
                <w:rFonts w:ascii="Calibri" w:hAnsi="Calibri"/>
                <w:color w:val="202833"/>
                <w:sz w:val="18"/>
              </w:rPr>
              <w:t>Wrong selected account can spend the wrong portfolio.</w:t>
            </w:r>
          </w:p>
        </w:tc>
      </w:tr>
      <w:tr>
        <w:trPr>
          <w:cantSplit/>
        </w:trPr>
        <w:tc>
          <w:tcPr>
            <w:tcW w:type="dxa" w:w="1800"/>
          </w:tcPr>
          <w:p>
            <w:pPr>
              <w:spacing w:after="0" w:line="252" w:lineRule="auto"/>
              <w:jc w:val="left"/>
            </w:pPr>
            <w:r>
              <w:rPr>
                <w:rFonts w:ascii="Calibri" w:hAnsi="Calibri"/>
                <w:color w:val="202833"/>
                <w:sz w:val="18"/>
              </w:rPr>
              <w:t>Payload</w:t>
            </w:r>
          </w:p>
        </w:tc>
        <w:tc>
          <w:tcPr>
            <w:tcW w:type="dxa" w:w="3500"/>
          </w:tcPr>
          <w:p>
            <w:pPr>
              <w:spacing w:after="0" w:line="252" w:lineRule="auto"/>
              <w:jc w:val="left"/>
            </w:pPr>
            <w:r>
              <w:rPr>
                <w:rFonts w:ascii="Calibri" w:hAnsi="Calibri"/>
                <w:color w:val="202833"/>
                <w:sz w:val="18"/>
              </w:rPr>
              <w:t>Move entry function, type arguments, and values.</w:t>
            </w:r>
          </w:p>
        </w:tc>
        <w:tc>
          <w:tcPr>
            <w:tcW w:type="dxa" w:w="4060"/>
          </w:tcPr>
          <w:p>
            <w:pPr>
              <w:spacing w:after="0" w:line="252" w:lineRule="auto"/>
              <w:jc w:val="left"/>
            </w:pPr>
            <w:r>
              <w:rPr>
                <w:rFonts w:ascii="Calibri" w:hAnsi="Calibri"/>
                <w:color w:val="202833"/>
                <w:sz w:val="18"/>
              </w:rPr>
              <w:t>A friendly label can conceal a complex or malicious call.</w:t>
            </w:r>
          </w:p>
        </w:tc>
      </w:tr>
      <w:tr>
        <w:trPr>
          <w:cantSplit/>
        </w:trPr>
        <w:tc>
          <w:tcPr>
            <w:tcW w:type="dxa" w:w="1800"/>
            <w:shd w:fill="FBFCFD"/>
          </w:tcPr>
          <w:p>
            <w:pPr>
              <w:spacing w:after="0" w:line="252" w:lineRule="auto"/>
              <w:jc w:val="left"/>
            </w:pPr>
            <w:r>
              <w:rPr>
                <w:rFonts w:ascii="Calibri" w:hAnsi="Calibri"/>
                <w:color w:val="202833"/>
                <w:sz w:val="18"/>
              </w:rPr>
              <w:t>Sequence number</w:t>
            </w:r>
          </w:p>
        </w:tc>
        <w:tc>
          <w:tcPr>
            <w:tcW w:type="dxa" w:w="3500"/>
            <w:shd w:fill="FBFCFD"/>
          </w:tcPr>
          <w:p>
            <w:pPr>
              <w:spacing w:after="0" w:line="252" w:lineRule="auto"/>
              <w:jc w:val="left"/>
            </w:pPr>
            <w:r>
              <w:rPr>
                <w:rFonts w:ascii="Calibri" w:hAnsi="Calibri"/>
                <w:color w:val="202833"/>
                <w:sz w:val="18"/>
              </w:rPr>
              <w:t>Orders ordinary transactions and prevents replay.</w:t>
            </w:r>
          </w:p>
        </w:tc>
        <w:tc>
          <w:tcPr>
            <w:tcW w:type="dxa" w:w="4060"/>
            <w:shd w:fill="FBFCFD"/>
          </w:tcPr>
          <w:p>
            <w:pPr>
              <w:spacing w:after="0" w:line="252" w:lineRule="auto"/>
              <w:jc w:val="left"/>
            </w:pPr>
            <w:r>
              <w:rPr>
                <w:rFonts w:ascii="Calibri" w:hAnsi="Calibri"/>
                <w:color w:val="202833"/>
                <w:sz w:val="18"/>
              </w:rPr>
              <w:t>Stale or conflicting pending transactions can block later submissions.</w:t>
            </w:r>
          </w:p>
        </w:tc>
      </w:tr>
      <w:tr>
        <w:trPr>
          <w:cantSplit/>
        </w:trPr>
        <w:tc>
          <w:tcPr>
            <w:tcW w:type="dxa" w:w="1800"/>
          </w:tcPr>
          <w:p>
            <w:pPr>
              <w:spacing w:after="0" w:line="252" w:lineRule="auto"/>
              <w:jc w:val="left"/>
            </w:pPr>
            <w:r>
              <w:rPr>
                <w:rFonts w:ascii="Calibri" w:hAnsi="Calibri"/>
                <w:color w:val="202833"/>
                <w:sz w:val="18"/>
              </w:rPr>
              <w:t>Gas-unit price</w:t>
            </w:r>
          </w:p>
        </w:tc>
        <w:tc>
          <w:tcPr>
            <w:tcW w:type="dxa" w:w="3500"/>
          </w:tcPr>
          <w:p>
            <w:pPr>
              <w:spacing w:after="0" w:line="252" w:lineRule="auto"/>
              <w:jc w:val="left"/>
            </w:pPr>
            <w:r>
              <w:rPr>
                <w:rFonts w:ascii="Calibri" w:hAnsi="Calibri"/>
                <w:color w:val="202833"/>
                <w:sz w:val="18"/>
              </w:rPr>
              <w:t>APT/octas offered per unit of gas.</w:t>
            </w:r>
          </w:p>
        </w:tc>
        <w:tc>
          <w:tcPr>
            <w:tcW w:type="dxa" w:w="4060"/>
          </w:tcPr>
          <w:p>
            <w:pPr>
              <w:spacing w:after="0" w:line="252" w:lineRule="auto"/>
              <w:jc w:val="left"/>
            </w:pPr>
            <w:r>
              <w:rPr>
                <w:rFonts w:ascii="Calibri" w:hAnsi="Calibri"/>
                <w:color w:val="202833"/>
                <w:sz w:val="18"/>
              </w:rPr>
              <w:t>Excessive price increases fees; very low price can delay acceptance.</w:t>
            </w:r>
          </w:p>
        </w:tc>
      </w:tr>
      <w:tr>
        <w:trPr>
          <w:cantSplit/>
        </w:trPr>
        <w:tc>
          <w:tcPr>
            <w:tcW w:type="dxa" w:w="1800"/>
            <w:shd w:fill="FBFCFD"/>
          </w:tcPr>
          <w:p>
            <w:pPr>
              <w:spacing w:after="0" w:line="252" w:lineRule="auto"/>
              <w:jc w:val="left"/>
            </w:pPr>
            <w:r>
              <w:rPr>
                <w:rFonts w:ascii="Calibri" w:hAnsi="Calibri"/>
                <w:color w:val="202833"/>
                <w:sz w:val="18"/>
              </w:rPr>
              <w:t>Maximum gas</w:t>
            </w:r>
          </w:p>
        </w:tc>
        <w:tc>
          <w:tcPr>
            <w:tcW w:type="dxa" w:w="3500"/>
            <w:shd w:fill="FBFCFD"/>
          </w:tcPr>
          <w:p>
            <w:pPr>
              <w:spacing w:after="0" w:line="252" w:lineRule="auto"/>
              <w:jc w:val="left"/>
            </w:pPr>
            <w:r>
              <w:rPr>
                <w:rFonts w:ascii="Calibri" w:hAnsi="Calibri"/>
                <w:color w:val="202833"/>
                <w:sz w:val="18"/>
              </w:rPr>
              <w:t>Upper bound on units consumed.</w:t>
            </w:r>
          </w:p>
        </w:tc>
        <w:tc>
          <w:tcPr>
            <w:tcW w:type="dxa" w:w="4060"/>
            <w:shd w:fill="FBFCFD"/>
          </w:tcPr>
          <w:p>
            <w:pPr>
              <w:spacing w:after="0" w:line="252" w:lineRule="auto"/>
              <w:jc w:val="left"/>
            </w:pPr>
            <w:r>
              <w:rPr>
                <w:rFonts w:ascii="Calibri" w:hAnsi="Calibri"/>
                <w:color w:val="202833"/>
                <w:sz w:val="18"/>
              </w:rPr>
              <w:t>Too low can abort after consuming gas; too high is a cap, not necessarily the final fee.</w:t>
            </w:r>
          </w:p>
        </w:tc>
      </w:tr>
      <w:tr>
        <w:trPr>
          <w:cantSplit/>
        </w:trPr>
        <w:tc>
          <w:tcPr>
            <w:tcW w:type="dxa" w:w="1800"/>
          </w:tcPr>
          <w:p>
            <w:pPr>
              <w:spacing w:after="0" w:line="252" w:lineRule="auto"/>
              <w:jc w:val="left"/>
            </w:pPr>
            <w:r>
              <w:rPr>
                <w:rFonts w:ascii="Calibri" w:hAnsi="Calibri"/>
                <w:color w:val="202833"/>
                <w:sz w:val="18"/>
              </w:rPr>
              <w:t>Expiration time</w:t>
            </w:r>
          </w:p>
        </w:tc>
        <w:tc>
          <w:tcPr>
            <w:tcW w:type="dxa" w:w="3500"/>
          </w:tcPr>
          <w:p>
            <w:pPr>
              <w:spacing w:after="0" w:line="252" w:lineRule="auto"/>
              <w:jc w:val="left"/>
            </w:pPr>
            <w:r>
              <w:rPr>
                <w:rFonts w:ascii="Calibri" w:hAnsi="Calibri"/>
                <w:color w:val="202833"/>
                <w:sz w:val="18"/>
              </w:rPr>
              <w:t>Rejects the transaction after a timestamp.</w:t>
            </w:r>
          </w:p>
        </w:tc>
        <w:tc>
          <w:tcPr>
            <w:tcW w:type="dxa" w:w="4060"/>
          </w:tcPr>
          <w:p>
            <w:pPr>
              <w:spacing w:after="0" w:line="252" w:lineRule="auto"/>
              <w:jc w:val="left"/>
            </w:pPr>
            <w:r>
              <w:rPr>
                <w:rFonts w:ascii="Calibri" w:hAnsi="Calibri"/>
                <w:color w:val="202833"/>
                <w:sz w:val="18"/>
              </w:rPr>
              <w:t>Incorrect device time or VPN/time drift can produce transaction_expired, as Rise notes. [1]</w:t>
            </w:r>
          </w:p>
        </w:tc>
      </w:tr>
      <w:tr>
        <w:trPr>
          <w:cantSplit/>
        </w:trPr>
        <w:tc>
          <w:tcPr>
            <w:tcW w:type="dxa" w:w="1800"/>
            <w:shd w:fill="FBFCFD"/>
          </w:tcPr>
          <w:p>
            <w:pPr>
              <w:spacing w:after="0" w:line="252" w:lineRule="auto"/>
              <w:jc w:val="left"/>
            </w:pPr>
            <w:r>
              <w:rPr>
                <w:rFonts w:ascii="Calibri" w:hAnsi="Calibri"/>
                <w:color w:val="202833"/>
                <w:sz w:val="18"/>
              </w:rPr>
              <w:t>Chain ID</w:t>
            </w:r>
          </w:p>
        </w:tc>
        <w:tc>
          <w:tcPr>
            <w:tcW w:type="dxa" w:w="3500"/>
            <w:shd w:fill="FBFCFD"/>
          </w:tcPr>
          <w:p>
            <w:pPr>
              <w:spacing w:after="0" w:line="252" w:lineRule="auto"/>
              <w:jc w:val="left"/>
            </w:pPr>
            <w:r>
              <w:rPr>
                <w:rFonts w:ascii="Calibri" w:hAnsi="Calibri"/>
                <w:color w:val="202833"/>
                <w:sz w:val="18"/>
              </w:rPr>
              <w:t>Separates mainnet, testnet, and devnet.</w:t>
            </w:r>
          </w:p>
        </w:tc>
        <w:tc>
          <w:tcPr>
            <w:tcW w:type="dxa" w:w="4060"/>
            <w:shd w:fill="FBFCFD"/>
          </w:tcPr>
          <w:p>
            <w:pPr>
              <w:spacing w:after="0" w:line="252" w:lineRule="auto"/>
              <w:jc w:val="left"/>
            </w:pPr>
            <w:r>
              <w:rPr>
                <w:rFonts w:ascii="Calibri" w:hAnsi="Calibri"/>
                <w:color w:val="202833"/>
                <w:sz w:val="18"/>
              </w:rPr>
              <w:t>Wrong network can create a valid but economically irrelevant test transaction.</w:t>
            </w:r>
          </w:p>
        </w:tc>
      </w:tr>
      <w:tr>
        <w:trPr>
          <w:cantSplit/>
        </w:trPr>
        <w:tc>
          <w:tcPr>
            <w:tcW w:type="dxa" w:w="1800"/>
          </w:tcPr>
          <w:p>
            <w:pPr>
              <w:spacing w:after="0" w:line="252" w:lineRule="auto"/>
              <w:jc w:val="left"/>
            </w:pPr>
            <w:r>
              <w:rPr>
                <w:rFonts w:ascii="Calibri" w:hAnsi="Calibri"/>
                <w:color w:val="202833"/>
                <w:sz w:val="18"/>
              </w:rPr>
              <w:t>Signature/authenticator</w:t>
            </w:r>
          </w:p>
        </w:tc>
        <w:tc>
          <w:tcPr>
            <w:tcW w:type="dxa" w:w="3500"/>
          </w:tcPr>
          <w:p>
            <w:pPr>
              <w:spacing w:after="0" w:line="252" w:lineRule="auto"/>
              <w:jc w:val="left"/>
            </w:pPr>
            <w:r>
              <w:rPr>
                <w:rFonts w:ascii="Calibri" w:hAnsi="Calibri"/>
                <w:color w:val="202833"/>
                <w:sz w:val="18"/>
              </w:rPr>
              <w:t>Proves authorization under the current account scheme.</w:t>
            </w:r>
          </w:p>
        </w:tc>
        <w:tc>
          <w:tcPr>
            <w:tcW w:type="dxa" w:w="4060"/>
          </w:tcPr>
          <w:p>
            <w:pPr>
              <w:spacing w:after="0" w:line="252" w:lineRule="auto"/>
              <w:jc w:val="left"/>
            </w:pPr>
            <w:r>
              <w:rPr>
                <w:rFonts w:ascii="Calibri" w:hAnsi="Calibri"/>
                <w:color w:val="202833"/>
                <w:sz w:val="18"/>
              </w:rPr>
              <w:t>A correct signature does not prove informed consent.</w:t>
            </w:r>
          </w:p>
        </w:tc>
      </w:tr>
    </w:tbl>
    <w:p>
      <w:pPr>
        <w:widowControl/>
        <w:spacing w:after="0"/>
      </w:pPr>
    </w:p>
    <w:p>
      <w:pPr>
        <w:pStyle w:val="Heading2"/>
        <w:keepNext/>
        <w:widowControl/>
      </w:pPr>
      <w:r>
        <w:t>8.2 Gas and storage economics</w:t>
      </w:r>
    </w:p>
    <w:p>
      <w:pPr>
        <w:widowControl/>
      </w:pPr>
      <w:r>
        <w:rPr>
          <w:rFonts w:ascii="Calibri" w:hAnsi="Calibri"/>
          <w:color w:val="202833"/>
        </w:rPr>
        <w:t>APT is the ordinary gas currency and uses eight decimal places; its smallest unit is the octa. Fees include computation, I/O, and storage effects. The maximum nominal charge is gas_unit_price multiplied by max_gas_amount, but storage refunds can change the net APT effect. A transaction that aborts can still consume gas because validators executed it. Simulation estimates the cost and effects at a particular state; the final result can differ if state changes before execution. [16][17]</w:t>
      </w:r>
    </w:p>
    <w:p>
      <w:pPr>
        <w:widowControl/>
        <w:numPr>
          <w:ilvl w:val="0"/>
          <w:numId w:val="10"/>
        </w:numPr>
      </w:pPr>
      <w:r>
        <w:rPr>
          <w:rFonts w:ascii="Calibri" w:hAnsi="Calibri"/>
          <w:b/>
          <w:color w:val="202833"/>
        </w:rPr>
        <w:t xml:space="preserve">Maintain an APT reserve. </w:t>
      </w:r>
      <w:r>
        <w:rPr>
          <w:rFonts w:ascii="Calibri" w:hAnsi="Calibri"/>
          <w:color w:val="202833"/>
        </w:rPr>
        <w:t>A portfolio consisting only of another token may be unable to transact unless a sponsored-fee flow is explicitly supported.</w:t>
      </w:r>
    </w:p>
    <w:p>
      <w:pPr>
        <w:widowControl/>
        <w:numPr>
          <w:ilvl w:val="0"/>
          <w:numId w:val="10"/>
        </w:numPr>
      </w:pPr>
      <w:r>
        <w:rPr>
          <w:rFonts w:ascii="Calibri" w:hAnsi="Calibri"/>
          <w:b/>
          <w:color w:val="202833"/>
        </w:rPr>
        <w:t xml:space="preserve">Do not send the absolute maximum. </w:t>
      </w:r>
      <w:r>
        <w:rPr>
          <w:rFonts w:ascii="Calibri" w:hAnsi="Calibri"/>
          <w:color w:val="202833"/>
        </w:rPr>
        <w:t>Leave sufficient APT for the transfer and any follow-up recovery or account operation.</w:t>
      </w:r>
    </w:p>
    <w:p>
      <w:pPr>
        <w:widowControl/>
        <w:numPr>
          <w:ilvl w:val="0"/>
          <w:numId w:val="10"/>
        </w:numPr>
      </w:pPr>
      <w:r>
        <w:rPr>
          <w:rFonts w:ascii="Calibri" w:hAnsi="Calibri"/>
          <w:b/>
          <w:color w:val="202833"/>
        </w:rPr>
        <w:t xml:space="preserve">Read max versus expected fee. </w:t>
      </w:r>
      <w:r>
        <w:rPr>
          <w:rFonts w:ascii="Calibri" w:hAnsi="Calibri"/>
          <w:color w:val="202833"/>
        </w:rPr>
        <w:t>A high maximum is a limit; the actual charge depends on execution and storage.</w:t>
      </w:r>
    </w:p>
    <w:p>
      <w:pPr>
        <w:widowControl/>
        <w:numPr>
          <w:ilvl w:val="0"/>
          <w:numId w:val="10"/>
        </w:numPr>
      </w:pPr>
      <w:r>
        <w:rPr>
          <w:rFonts w:ascii="Calibri" w:hAnsi="Calibri"/>
          <w:b/>
          <w:color w:val="202833"/>
        </w:rPr>
        <w:t xml:space="preserve">Failed does not mean free. </w:t>
      </w:r>
      <w:r>
        <w:rPr>
          <w:rFonts w:ascii="Calibri" w:hAnsi="Calibri"/>
          <w:color w:val="202833"/>
        </w:rPr>
        <w:t>An aborted Move call may still charge execution gas.</w:t>
      </w:r>
    </w:p>
    <w:p>
      <w:pPr>
        <w:widowControl/>
        <w:numPr>
          <w:ilvl w:val="0"/>
          <w:numId w:val="10"/>
        </w:numPr>
      </w:pPr>
      <w:r>
        <w:rPr>
          <w:rFonts w:ascii="Calibri" w:hAnsi="Calibri"/>
          <w:b/>
          <w:color w:val="202833"/>
        </w:rPr>
        <w:t xml:space="preserve">Simulation is state-dependent. </w:t>
      </w:r>
      <w:r>
        <w:rPr>
          <w:rFonts w:ascii="Calibri" w:hAnsi="Calibri"/>
          <w:color w:val="202833"/>
        </w:rPr>
        <w:t>Slippage, oracle state, object ownership, sequence number, and contract state can change after preview.</w:t>
      </w:r>
    </w:p>
    <w:p>
      <w:pPr>
        <w:pStyle w:val="Heading2"/>
        <w:keepNext/>
        <w:widowControl/>
      </w:pPr>
      <w:r>
        <w:t>8.3 Lifecycle and settlement</w:t>
      </w:r>
    </w:p>
    <w:p>
      <w:pPr>
        <w:widowControl/>
      </w:pPr>
      <w:r>
        <w:rPr>
          <w:rFonts w:ascii="Calibri" w:hAnsi="Calibri"/>
          <w:color w:val="202833"/>
        </w:rPr>
        <w:t>After submission, a fullnode checks basic validity and forwards the transaction through mempool toward validators. Consensus orders transactions, the Move VM executes them, and committed results are written to storage. A committed transaction can succeed or abort; the sequence number still advances for a committed sequenced transaction. The definitive evidence is the on-chain transaction response: success flag, VM status, version, events, write set, gas, and final balances. [13][14]</w:t>
      </w:r>
    </w:p>
    <w:tbl>
      <w:tblPr>
        <w:tblW w:type="dxa" w:w="9360"/>
        <w:jc w:val="left"/>
        <w:tblLayout w:type="fixed"/>
        <w:tblLook w:firstColumn="1" w:firstRow="1" w:lastColumn="0" w:lastRow="0" w:noHBand="0" w:noVBand="1" w:val="04A0"/>
        <w:tblInd w:w="120" w:type="dxa"/>
        <w:tblBorders>
          <w:top w:val="single" w:sz="7" w:space="0" w:color="9B1C1C"/>
          <w:left w:val="single" w:sz="7" w:space="0" w:color="9B1C1C"/>
          <w:bottom w:val="single" w:sz="7" w:space="0" w:color="9B1C1C"/>
          <w:right w:val="single" w:sz="7" w:space="0" w:color="9B1C1C"/>
          <w:insideH w:val="single" w:sz="7" w:space="0" w:color="9B1C1C"/>
          <w:insideV w:val="single" w:sz="7" w:space="0" w:color="9B1C1C"/>
        </w:tblBorders>
      </w:tblPr>
      <w:tblGrid>
        <w:gridCol w:w="9360"/>
      </w:tblGrid>
      <w:tr>
        <w:trPr>
          <w:cantSplit/>
        </w:trPr>
        <w:tc>
          <w:tcPr>
            <w:tcW w:type="dxa" w:w="9360"/>
            <w:tcMar>
              <w:top w:w="80" w:type="dxa"/>
              <w:start w:w="120" w:type="dxa"/>
              <w:bottom w:w="80" w:type="dxa"/>
              <w:end w:w="120" w:type="dxa"/>
            </w:tcMar>
            <w:vAlign w:val="center"/>
            <w:shd w:fill="FCEEEF"/>
          </w:tcPr>
          <w:p>
            <w:pPr>
              <w:spacing w:after="60"/>
            </w:pPr>
            <w:r>
              <w:rPr>
                <w:rFonts w:ascii="Calibri" w:hAnsi="Calibri"/>
                <w:b/>
                <w:color w:val="9B1C1C"/>
              </w:rPr>
              <w:t>Irreversibility</w:t>
            </w:r>
          </w:p>
          <w:p>
            <w:pPr>
              <w:spacing w:after="0" w:line="264" w:lineRule="auto"/>
            </w:pPr>
            <w:r>
              <w:rPr>
                <w:rFonts w:ascii="Calibri" w:hAnsi="Calibri"/>
                <w:color w:val="202833"/>
              </w:rPr>
              <w:t>Rise cannot cancel or reverse a transaction after Aptos commits it. If an asset was sent to the wrong address, only the holder of that recipient authority can return it, unless a separate issuer or contract has special administrative powers. [1]</w:t>
            </w:r>
          </w:p>
        </w:tc>
      </w:tr>
    </w:tbl>
    <w:p>
      <w:pPr>
        <w:widowControl/>
        <w:spacing w:after="0"/>
      </w:pPr>
    </w:p>
    <w:p>
      <w:pPr>
        <w:pStyle w:val="Heading2"/>
        <w:keepNext/>
        <w:widowControl/>
      </w:pPr>
      <w:r>
        <w:t>8.4 Rise transaction simulation</w:t>
      </w:r>
    </w:p>
    <w:p>
      <w:pPr>
        <w:widowControl/>
      </w:pPr>
      <w:r>
        <w:rPr>
          <w:rFonts w:ascii="Calibri" w:hAnsi="Calibri"/>
          <w:color w:val="202833"/>
        </w:rPr>
        <w:t>Rise advertises simulation that shows balance changes before confirmation. This is valuable because it can expose an unexpected APT or token outflow. However, a high-quality simulation must understand modern FA stores, dispatchable transfer hooks, Digital Assets, object ownership, and arbitrary Move events. An old simulation renderer can omit or misclassify effects even if the fullnode simulation itself is correct. [1][17][18][20]</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4680"/>
        <w:gridCol w:w="4680"/>
      </w:tblGrid>
      <w:tr>
        <w:trPr>
          <w:tblHeader w:val="true"/>
        </w:trPr>
        <w:tc>
          <w:tcPr>
            <w:tcW w:type="dxa" w:w="4680"/>
            <w:tcMar>
              <w:top w:w="80" w:type="dxa"/>
              <w:start w:w="120" w:type="dxa"/>
              <w:bottom w:w="80" w:type="dxa"/>
              <w:end w:w="120" w:type="dxa"/>
            </w:tcMar>
            <w:vAlign w:val="center"/>
            <w:shd w:fill="F2F4F7"/>
          </w:tcPr>
          <w:p>
            <w:pPr>
              <w:spacing w:after="0"/>
              <w:jc w:val="left"/>
            </w:pPr>
            <w:r>
              <w:rPr>
                <w:rFonts w:ascii="Calibri" w:hAnsi="Calibri"/>
                <w:b/>
                <w:color w:val="17365D"/>
                <w:sz w:val="19"/>
              </w:rPr>
              <w:t>Simulation can help detect</w:t>
            </w:r>
          </w:p>
        </w:tc>
        <w:tc>
          <w:tcPr>
            <w:tcW w:type="dxa" w:w="4680"/>
            <w:tcMar>
              <w:top w:w="80" w:type="dxa"/>
              <w:start w:w="120" w:type="dxa"/>
              <w:bottom w:w="80" w:type="dxa"/>
              <w:end w:w="120" w:type="dxa"/>
            </w:tcMar>
            <w:vAlign w:val="center"/>
            <w:shd w:fill="F2F4F7"/>
          </w:tcPr>
          <w:p>
            <w:pPr>
              <w:spacing w:after="0"/>
              <w:jc w:val="left"/>
            </w:pPr>
            <w:r>
              <w:rPr>
                <w:rFonts w:ascii="Calibri" w:hAnsi="Calibri"/>
                <w:b/>
                <w:color w:val="17365D"/>
                <w:sz w:val="19"/>
              </w:rPr>
              <w:t>Simulation cannot guarantee</w:t>
            </w:r>
          </w:p>
        </w:tc>
      </w:tr>
      <w:tr>
        <w:trPr>
          <w:cantSplit/>
        </w:trPr>
        <w:tc>
          <w:tcPr>
            <w:tcW w:type="dxa" w:w="4680"/>
            <w:shd w:fill="FBFCFD"/>
          </w:tcPr>
          <w:p>
            <w:pPr>
              <w:spacing w:after="0" w:line="252" w:lineRule="auto"/>
              <w:jc w:val="left"/>
            </w:pPr>
            <w:r>
              <w:rPr>
                <w:rFonts w:ascii="Calibri" w:hAnsi="Calibri"/>
                <w:color w:val="202833"/>
                <w:sz w:val="18"/>
              </w:rPr>
              <w:t>Estimated gas and an obvious transfer amount.</w:t>
            </w:r>
          </w:p>
        </w:tc>
        <w:tc>
          <w:tcPr>
            <w:tcW w:type="dxa" w:w="4680"/>
            <w:shd w:fill="FBFCFD"/>
          </w:tcPr>
          <w:p>
            <w:pPr>
              <w:spacing w:after="0" w:line="252" w:lineRule="auto"/>
              <w:jc w:val="left"/>
            </w:pPr>
            <w:r>
              <w:rPr>
                <w:rFonts w:ascii="Calibri" w:hAnsi="Calibri"/>
                <w:color w:val="202833"/>
                <w:sz w:val="18"/>
              </w:rPr>
              <w:t>That the dApp is legitimate or the contract is free of exploitable logic.</w:t>
            </w:r>
          </w:p>
        </w:tc>
      </w:tr>
      <w:tr>
        <w:trPr>
          <w:cantSplit/>
        </w:trPr>
        <w:tc>
          <w:tcPr>
            <w:tcW w:type="dxa" w:w="4680"/>
          </w:tcPr>
          <w:p>
            <w:pPr>
              <w:spacing w:after="0" w:line="252" w:lineRule="auto"/>
              <w:jc w:val="left"/>
            </w:pPr>
            <w:r>
              <w:rPr>
                <w:rFonts w:ascii="Calibri" w:hAnsi="Calibri"/>
                <w:color w:val="202833"/>
                <w:sz w:val="18"/>
              </w:rPr>
              <w:t>Expected resource writes and balance changes.</w:t>
            </w:r>
          </w:p>
        </w:tc>
        <w:tc>
          <w:tcPr>
            <w:tcW w:type="dxa" w:w="4680"/>
          </w:tcPr>
          <w:p>
            <w:pPr>
              <w:spacing w:after="0" w:line="252" w:lineRule="auto"/>
              <w:jc w:val="left"/>
            </w:pPr>
            <w:r>
              <w:rPr>
                <w:rFonts w:ascii="Calibri" w:hAnsi="Calibri"/>
                <w:color w:val="202833"/>
                <w:sz w:val="18"/>
              </w:rPr>
              <w:t>That state, price, routing, or liquidity will be unchanged at execution.</w:t>
            </w:r>
          </w:p>
        </w:tc>
      </w:tr>
      <w:tr>
        <w:trPr>
          <w:cantSplit/>
        </w:trPr>
        <w:tc>
          <w:tcPr>
            <w:tcW w:type="dxa" w:w="4680"/>
            <w:shd w:fill="FBFCFD"/>
          </w:tcPr>
          <w:p>
            <w:pPr>
              <w:spacing w:after="0" w:line="252" w:lineRule="auto"/>
              <w:jc w:val="left"/>
            </w:pPr>
            <w:r>
              <w:rPr>
                <w:rFonts w:ascii="Calibri" w:hAnsi="Calibri"/>
                <w:color w:val="202833"/>
                <w:sz w:val="18"/>
              </w:rPr>
              <w:t>A likely abort before paying a submitted transaction fee.</w:t>
            </w:r>
          </w:p>
        </w:tc>
        <w:tc>
          <w:tcPr>
            <w:tcW w:type="dxa" w:w="4680"/>
            <w:shd w:fill="FBFCFD"/>
          </w:tcPr>
          <w:p>
            <w:pPr>
              <w:spacing w:after="0" w:line="252" w:lineRule="auto"/>
              <w:jc w:val="left"/>
            </w:pPr>
            <w:r>
              <w:rPr>
                <w:rFonts w:ascii="Calibri" w:hAnsi="Calibri"/>
                <w:color w:val="202833"/>
                <w:sz w:val="18"/>
              </w:rPr>
              <w:t>That every custom object, FA hook, or nested call is decoded for the user.</w:t>
            </w:r>
          </w:p>
        </w:tc>
      </w:tr>
      <w:tr>
        <w:trPr>
          <w:cantSplit/>
        </w:trPr>
        <w:tc>
          <w:tcPr>
            <w:tcW w:type="dxa" w:w="4680"/>
          </w:tcPr>
          <w:p>
            <w:pPr>
              <w:spacing w:after="0" w:line="252" w:lineRule="auto"/>
              <w:jc w:val="left"/>
            </w:pPr>
            <w:r>
              <w:rPr>
                <w:rFonts w:ascii="Calibri" w:hAnsi="Calibri"/>
                <w:color w:val="202833"/>
                <w:sz w:val="18"/>
              </w:rPr>
              <w:t>Wrong recipient or unusually large direct outflow.</w:t>
            </w:r>
          </w:p>
        </w:tc>
        <w:tc>
          <w:tcPr>
            <w:tcW w:type="dxa" w:w="4680"/>
          </w:tcPr>
          <w:p>
            <w:pPr>
              <w:spacing w:after="0" w:line="252" w:lineRule="auto"/>
              <w:jc w:val="left"/>
            </w:pPr>
            <w:r>
              <w:rPr>
                <w:rFonts w:ascii="Calibri" w:hAnsi="Calibri"/>
                <w:color w:val="202833"/>
                <w:sz w:val="18"/>
              </w:rPr>
              <w:t>That an approved capability or object transfer has no future consequences.</w:t>
            </w:r>
          </w:p>
        </w:tc>
      </w:tr>
    </w:tbl>
    <w:p>
      <w:pPr>
        <w:widowControl/>
        <w:spacing w:after="0"/>
      </w:pPr>
    </w:p>
    <w:p>
      <w:pPr>
        <w:pStyle w:val="Heading1"/>
        <w:keepNext/>
        <w:widowControl/>
      </w:pPr>
      <w:r>
        <w:t>9. dApp connectivity, permissions, and signing</w:t>
      </w:r>
    </w:p>
    <w:p>
      <w:pPr>
        <w:pStyle w:val="Heading2"/>
        <w:keepNext/>
        <w:widowControl/>
      </w:pPr>
      <w:r>
        <w:t>9.1 Legacy Rise integration model</w:t>
      </w:r>
    </w:p>
    <w:p>
      <w:pPr>
        <w:widowControl/>
      </w:pPr>
      <w:r>
        <w:rPr>
          <w:rFonts w:ascii="Calibri" w:hAnsi="Calibri"/>
          <w:color w:val="202833"/>
        </w:rPr>
        <w:t>Rise's public documentation describes two historical integration paths. The adapter path installs @manahippo/aptos-wallet-adapter and creates a RiseWalletAdapter. The direct path injects window.rise into the page. A dApp calls connect(), the user approves disclosure of address/authentication/public-key information, and the domain is then whitelisted for future connection requests. The provider exposes signTransaction(), signMessage(), and transaction submission methods. [5][6][7][8]</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850"/>
        <w:gridCol w:w="3550"/>
        <w:gridCol w:w="3960"/>
      </w:tblGrid>
      <w:tr>
        <w:trPr>
          <w:tblHeader w:val="true"/>
        </w:trPr>
        <w:tc>
          <w:tcPr>
            <w:tcW w:type="dxa" w:w="1850"/>
            <w:tcMar>
              <w:top w:w="80" w:type="dxa"/>
              <w:start w:w="120" w:type="dxa"/>
              <w:bottom w:w="80" w:type="dxa"/>
              <w:end w:w="120" w:type="dxa"/>
            </w:tcMar>
            <w:vAlign w:val="center"/>
            <w:shd w:fill="F2F4F7"/>
          </w:tcPr>
          <w:p>
            <w:pPr>
              <w:spacing w:after="0"/>
              <w:jc w:val="left"/>
            </w:pPr>
            <w:r>
              <w:rPr>
                <w:rFonts w:ascii="Calibri" w:hAnsi="Calibri"/>
                <w:b/>
                <w:color w:val="17365D"/>
                <w:sz w:val="19"/>
              </w:rPr>
              <w:t>Request</w:t>
            </w:r>
          </w:p>
        </w:tc>
        <w:tc>
          <w:tcPr>
            <w:tcW w:type="dxa" w:w="3550"/>
            <w:tcMar>
              <w:top w:w="80" w:type="dxa"/>
              <w:start w:w="120" w:type="dxa"/>
              <w:bottom w:w="80" w:type="dxa"/>
              <w:end w:w="120" w:type="dxa"/>
            </w:tcMar>
            <w:vAlign w:val="center"/>
            <w:shd w:fill="F2F4F7"/>
          </w:tcPr>
          <w:p>
            <w:pPr>
              <w:spacing w:after="0"/>
              <w:jc w:val="left"/>
            </w:pPr>
            <w:r>
              <w:rPr>
                <w:rFonts w:ascii="Calibri" w:hAnsi="Calibri"/>
                <w:b/>
                <w:color w:val="17365D"/>
                <w:sz w:val="19"/>
              </w:rPr>
              <w:t>What it does</w:t>
            </w:r>
          </w:p>
        </w:tc>
        <w:tc>
          <w:tcPr>
            <w:tcW w:type="dxa" w:w="3960"/>
            <w:tcMar>
              <w:top w:w="80" w:type="dxa"/>
              <w:start w:w="120" w:type="dxa"/>
              <w:bottom w:w="80" w:type="dxa"/>
              <w:end w:w="120" w:type="dxa"/>
            </w:tcMar>
            <w:vAlign w:val="center"/>
            <w:shd w:fill="F2F4F7"/>
          </w:tcPr>
          <w:p>
            <w:pPr>
              <w:spacing w:after="0"/>
              <w:jc w:val="left"/>
            </w:pPr>
            <w:r>
              <w:rPr>
                <w:rFonts w:ascii="Calibri" w:hAnsi="Calibri"/>
                <w:b/>
                <w:color w:val="17365D"/>
                <w:sz w:val="19"/>
              </w:rPr>
              <w:t>Security meaning</w:t>
            </w:r>
          </w:p>
        </w:tc>
      </w:tr>
      <w:tr>
        <w:trPr>
          <w:cantSplit/>
        </w:trPr>
        <w:tc>
          <w:tcPr>
            <w:tcW w:type="dxa" w:w="1850"/>
            <w:shd w:fill="FBFCFD"/>
          </w:tcPr>
          <w:p>
            <w:pPr>
              <w:spacing w:after="0" w:line="252" w:lineRule="auto"/>
              <w:jc w:val="left"/>
            </w:pPr>
            <w:r>
              <w:rPr>
                <w:rFonts w:ascii="Calibri" w:hAnsi="Calibri"/>
                <w:color w:val="202833"/>
                <w:sz w:val="18"/>
              </w:rPr>
              <w:t>connect()</w:t>
            </w:r>
          </w:p>
        </w:tc>
        <w:tc>
          <w:tcPr>
            <w:tcW w:type="dxa" w:w="3550"/>
            <w:shd w:fill="FBFCFD"/>
          </w:tcPr>
          <w:p>
            <w:pPr>
              <w:spacing w:after="0" w:line="252" w:lineRule="auto"/>
              <w:jc w:val="left"/>
            </w:pPr>
            <w:r>
              <w:rPr>
                <w:rFonts w:ascii="Calibri" w:hAnsi="Calibri"/>
                <w:color w:val="202833"/>
                <w:sz w:val="18"/>
              </w:rPr>
              <w:t>Shares account identity and authorizes the domain to interact.</w:t>
            </w:r>
          </w:p>
        </w:tc>
        <w:tc>
          <w:tcPr>
            <w:tcW w:type="dxa" w:w="3960"/>
            <w:shd w:fill="FBFCFD"/>
          </w:tcPr>
          <w:p>
            <w:pPr>
              <w:spacing w:after="0" w:line="252" w:lineRule="auto"/>
              <w:jc w:val="left"/>
            </w:pPr>
            <w:r>
              <w:rPr>
                <w:rFonts w:ascii="Calibri" w:hAnsi="Calibri"/>
                <w:color w:val="202833"/>
                <w:sz w:val="18"/>
              </w:rPr>
              <w:t>Connection alone normally does not transfer assets, but it reduces privacy and enables future prompts.</w:t>
            </w:r>
          </w:p>
        </w:tc>
      </w:tr>
      <w:tr>
        <w:trPr>
          <w:cantSplit/>
        </w:trPr>
        <w:tc>
          <w:tcPr>
            <w:tcW w:type="dxa" w:w="1850"/>
          </w:tcPr>
          <w:p>
            <w:pPr>
              <w:spacing w:after="0" w:line="252" w:lineRule="auto"/>
              <w:jc w:val="left"/>
            </w:pPr>
            <w:r>
              <w:rPr>
                <w:rFonts w:ascii="Calibri" w:hAnsi="Calibri"/>
                <w:color w:val="202833"/>
                <w:sz w:val="18"/>
              </w:rPr>
              <w:t>signMessage()</w:t>
            </w:r>
          </w:p>
        </w:tc>
        <w:tc>
          <w:tcPr>
            <w:tcW w:type="dxa" w:w="3550"/>
          </w:tcPr>
          <w:p>
            <w:pPr>
              <w:spacing w:after="0" w:line="252" w:lineRule="auto"/>
              <w:jc w:val="left"/>
            </w:pPr>
            <w:r>
              <w:rPr>
                <w:rFonts w:ascii="Calibri" w:hAnsi="Calibri"/>
                <w:color w:val="202833"/>
                <w:sz w:val="18"/>
              </w:rPr>
              <w:t>Signs an off-chain text structure without gas.</w:t>
            </w:r>
          </w:p>
        </w:tc>
        <w:tc>
          <w:tcPr>
            <w:tcW w:type="dxa" w:w="3960"/>
          </w:tcPr>
          <w:p>
            <w:pPr>
              <w:spacing w:after="0" w:line="252" w:lineRule="auto"/>
              <w:jc w:val="left"/>
            </w:pPr>
            <w:r>
              <w:rPr>
                <w:rFonts w:ascii="Calibri" w:hAnsi="Calibri"/>
                <w:color w:val="202833"/>
                <w:sz w:val="18"/>
              </w:rPr>
              <w:t>Can prove address control or authenticate a session; malicious messages can still create authorization or phishing risk.</w:t>
            </w:r>
          </w:p>
        </w:tc>
      </w:tr>
      <w:tr>
        <w:trPr>
          <w:cantSplit/>
        </w:trPr>
        <w:tc>
          <w:tcPr>
            <w:tcW w:type="dxa" w:w="1850"/>
            <w:shd w:fill="FBFCFD"/>
          </w:tcPr>
          <w:p>
            <w:pPr>
              <w:spacing w:after="0" w:line="252" w:lineRule="auto"/>
              <w:jc w:val="left"/>
            </w:pPr>
            <w:r>
              <w:rPr>
                <w:rFonts w:ascii="Calibri" w:hAnsi="Calibri"/>
                <w:color w:val="202833"/>
                <w:sz w:val="18"/>
              </w:rPr>
              <w:t>signTransaction()</w:t>
            </w:r>
          </w:p>
        </w:tc>
        <w:tc>
          <w:tcPr>
            <w:tcW w:type="dxa" w:w="3550"/>
            <w:shd w:fill="FBFCFD"/>
          </w:tcPr>
          <w:p>
            <w:pPr>
              <w:spacing w:after="0" w:line="252" w:lineRule="auto"/>
              <w:jc w:val="left"/>
            </w:pPr>
            <w:r>
              <w:rPr>
                <w:rFonts w:ascii="Calibri" w:hAnsi="Calibri"/>
                <w:color w:val="202833"/>
                <w:sz w:val="18"/>
              </w:rPr>
              <w:t>Produces a signature for a constructed Aptos transaction.</w:t>
            </w:r>
          </w:p>
        </w:tc>
        <w:tc>
          <w:tcPr>
            <w:tcW w:type="dxa" w:w="3960"/>
            <w:shd w:fill="FBFCFD"/>
          </w:tcPr>
          <w:p>
            <w:pPr>
              <w:spacing w:after="0" w:line="252" w:lineRule="auto"/>
              <w:jc w:val="left"/>
            </w:pPr>
            <w:r>
              <w:rPr>
                <w:rFonts w:ascii="Calibri" w:hAnsi="Calibri"/>
                <w:color w:val="202833"/>
                <w:sz w:val="18"/>
              </w:rPr>
              <w:t>The dApp may submit later; review payload, chain, expiration, gas, and all effects.</w:t>
            </w:r>
          </w:p>
        </w:tc>
      </w:tr>
      <w:tr>
        <w:trPr>
          <w:cantSplit/>
        </w:trPr>
        <w:tc>
          <w:tcPr>
            <w:tcW w:type="dxa" w:w="1850"/>
          </w:tcPr>
          <w:p>
            <w:pPr>
              <w:spacing w:after="0" w:line="252" w:lineRule="auto"/>
              <w:jc w:val="left"/>
            </w:pPr>
            <w:r>
              <w:rPr>
                <w:rFonts w:ascii="Calibri" w:hAnsi="Calibri"/>
                <w:color w:val="202833"/>
                <w:sz w:val="18"/>
              </w:rPr>
              <w:t>sign and submit</w:t>
            </w:r>
          </w:p>
        </w:tc>
        <w:tc>
          <w:tcPr>
            <w:tcW w:type="dxa" w:w="3550"/>
          </w:tcPr>
          <w:p>
            <w:pPr>
              <w:spacing w:after="0" w:line="252" w:lineRule="auto"/>
              <w:jc w:val="left"/>
            </w:pPr>
            <w:r>
              <w:rPr>
                <w:rFonts w:ascii="Calibri" w:hAnsi="Calibri"/>
                <w:color w:val="202833"/>
                <w:sz w:val="18"/>
              </w:rPr>
              <w:t>Signs and sends through the wallet/provider.</w:t>
            </w:r>
          </w:p>
        </w:tc>
        <w:tc>
          <w:tcPr>
            <w:tcW w:type="dxa" w:w="3960"/>
          </w:tcPr>
          <w:p>
            <w:pPr>
              <w:spacing w:after="0" w:line="252" w:lineRule="auto"/>
              <w:jc w:val="left"/>
            </w:pPr>
            <w:r>
              <w:rPr>
                <w:rFonts w:ascii="Calibri" w:hAnsi="Calibri"/>
                <w:color w:val="202833"/>
                <w:sz w:val="18"/>
              </w:rPr>
              <w:t>Convenient but compresses review and broadcast into one workflow.</w:t>
            </w:r>
          </w:p>
        </w:tc>
      </w:tr>
      <w:tr>
        <w:trPr>
          <w:cantSplit/>
        </w:trPr>
        <w:tc>
          <w:tcPr>
            <w:tcW w:type="dxa" w:w="1850"/>
            <w:shd w:fill="FBFCFD"/>
          </w:tcPr>
          <w:p>
            <w:pPr>
              <w:spacing w:after="0" w:line="252" w:lineRule="auto"/>
              <w:jc w:val="left"/>
            </w:pPr>
            <w:r>
              <w:rPr>
                <w:rFonts w:ascii="Calibri" w:hAnsi="Calibri"/>
                <w:color w:val="202833"/>
                <w:sz w:val="18"/>
              </w:rPr>
              <w:t>disconnect()</w:t>
            </w:r>
          </w:p>
        </w:tc>
        <w:tc>
          <w:tcPr>
            <w:tcW w:type="dxa" w:w="3550"/>
            <w:shd w:fill="FBFCFD"/>
          </w:tcPr>
          <w:p>
            <w:pPr>
              <w:spacing w:after="0" w:line="252" w:lineRule="auto"/>
              <w:jc w:val="left"/>
            </w:pPr>
            <w:r>
              <w:rPr>
                <w:rFonts w:ascii="Calibri" w:hAnsi="Calibri"/>
                <w:color w:val="202833"/>
                <w:sz w:val="18"/>
              </w:rPr>
              <w:t>Terminates the dApp connection.</w:t>
            </w:r>
          </w:p>
        </w:tc>
        <w:tc>
          <w:tcPr>
            <w:tcW w:type="dxa" w:w="3960"/>
            <w:shd w:fill="FBFCFD"/>
          </w:tcPr>
          <w:p>
            <w:pPr>
              <w:spacing w:after="0" w:line="252" w:lineRule="auto"/>
              <w:jc w:val="left"/>
            </w:pPr>
            <w:r>
              <w:rPr>
                <w:rFonts w:ascii="Calibri" w:hAnsi="Calibri"/>
                <w:color w:val="202833"/>
                <w:sz w:val="18"/>
              </w:rPr>
              <w:t>Does not revoke past signatures or undo already committed permissions/state.</w:t>
            </w:r>
          </w:p>
        </w:tc>
      </w:tr>
    </w:tbl>
    <w:p>
      <w:pPr>
        <w:widowControl/>
        <w:spacing w:after="0"/>
      </w:pPr>
    </w:p>
    <w:p>
      <w:pPr>
        <w:pStyle w:val="Heading2"/>
        <w:keepNext/>
        <w:widowControl/>
      </w:pPr>
      <w:r>
        <w:t>9.2 Current Aptos Wallet Standard gap</w:t>
      </w:r>
    </w:p>
    <w:p>
      <w:pPr>
        <w:widowControl/>
      </w:pPr>
      <w:r>
        <w:rPr>
          <w:rFonts w:ascii="Calibri" w:hAnsi="Calibri"/>
          <w:color w:val="202833"/>
        </w:rPr>
        <w:t>Current Aptos documentation states that direct browser-global wallet APIs are legacy and that dApps must use the Aptos Wallet Adapter with the AIP-62 Modern Wallet Standard. A compatible extension registers itself, advertises supported chains, accounts, key variants, and required features, then interacts through a standardized interface. Rise's public documentation still points to @manahippo and window.rise, so current AIP-62 compatibility cannot be inferred. [5]-[8][22][23]</w:t>
      </w:r>
    </w:p>
    <w:tbl>
      <w:tblPr>
        <w:tblW w:type="dxa" w:w="9360"/>
        <w:jc w:val="left"/>
        <w:tblLayout w:type="fixed"/>
        <w:tblLook w:firstColumn="1" w:firstRow="1" w:lastColumn="0" w:lastRow="0" w:noHBand="0" w:noVBand="1" w:val="04A0"/>
        <w:tblInd w:w="120" w:type="dxa"/>
        <w:tblBorders>
          <w:top w:val="single" w:sz="7" w:space="0" w:color="8A5B00"/>
          <w:left w:val="single" w:sz="7" w:space="0" w:color="8A5B00"/>
          <w:bottom w:val="single" w:sz="7" w:space="0" w:color="8A5B00"/>
          <w:right w:val="single" w:sz="7" w:space="0" w:color="8A5B00"/>
          <w:insideH w:val="single" w:sz="7" w:space="0" w:color="8A5B00"/>
          <w:insideV w:val="single" w:sz="7" w:space="0" w:color="8A5B00"/>
        </w:tblBorders>
      </w:tblPr>
      <w:tblGrid>
        <w:gridCol w:w="9360"/>
      </w:tblGrid>
      <w:tr>
        <w:trPr>
          <w:cantSplit/>
        </w:trPr>
        <w:tc>
          <w:tcPr>
            <w:tcW w:type="dxa" w:w="9360"/>
            <w:tcMar>
              <w:top w:w="80" w:type="dxa"/>
              <w:start w:w="120" w:type="dxa"/>
              <w:bottom w:w="80" w:type="dxa"/>
              <w:end w:w="120" w:type="dxa"/>
            </w:tcMar>
            <w:vAlign w:val="center"/>
            <w:shd w:fill="FFF5D6"/>
          </w:tcPr>
          <w:p>
            <w:pPr>
              <w:spacing w:after="60"/>
            </w:pPr>
            <w:r>
              <w:rPr>
                <w:rFonts w:ascii="Calibri" w:hAnsi="Calibri"/>
                <w:b/>
                <w:color w:val="8A5B00"/>
              </w:rPr>
              <w:t>Compatibility consequence</w:t>
            </w:r>
          </w:p>
          <w:p>
            <w:pPr>
              <w:spacing w:after="0" w:line="264" w:lineRule="auto"/>
            </w:pPr>
            <w:r>
              <w:rPr>
                <w:rFonts w:ascii="Calibri" w:hAnsi="Calibri"/>
                <w:color w:val="202833"/>
              </w:rPr>
              <w:t>A dApp failing to list Rise may not be a temporary website problem. It can reflect the wallet's absence from the modern standard, an unsupported key/account variant, or a dApp that intentionally removed legacy adapters.</w:t>
            </w:r>
          </w:p>
        </w:tc>
      </w:tr>
    </w:tbl>
    <w:p>
      <w:pPr>
        <w:widowControl/>
        <w:spacing w:after="0"/>
      </w:pPr>
    </w:p>
    <w:p>
      <w:pPr>
        <w:pStyle w:val="Heading2"/>
        <w:keepNext/>
        <w:widowControl/>
      </w:pPr>
      <w:r>
        <w:t>9.3 Permission hygiene</w:t>
      </w:r>
    </w:p>
    <w:p>
      <w:pPr>
        <w:widowControl/>
        <w:numPr>
          <w:ilvl w:val="0"/>
          <w:numId w:val="10"/>
        </w:numPr>
      </w:pPr>
      <w:r>
        <w:rPr>
          <w:rFonts w:ascii="Calibri" w:hAnsi="Calibri"/>
          <w:b/>
          <w:color w:val="202833"/>
        </w:rPr>
        <w:t xml:space="preserve">Use a dApp account. </w:t>
      </w:r>
      <w:r>
        <w:rPr>
          <w:rFonts w:ascii="Calibri" w:hAnsi="Calibri"/>
          <w:color w:val="202833"/>
        </w:rPr>
        <w:t>Keep long-term funds in a separate account that is never connected to experimental applications.</w:t>
      </w:r>
    </w:p>
    <w:p>
      <w:pPr>
        <w:widowControl/>
        <w:numPr>
          <w:ilvl w:val="0"/>
          <w:numId w:val="10"/>
        </w:numPr>
      </w:pPr>
      <w:r>
        <w:rPr>
          <w:rFonts w:ascii="Calibri" w:hAnsi="Calibri"/>
          <w:b/>
          <w:color w:val="202833"/>
        </w:rPr>
        <w:t xml:space="preserve">Read the origin. </w:t>
      </w:r>
      <w:r>
        <w:rPr>
          <w:rFonts w:ascii="Calibri" w:hAnsi="Calibri"/>
          <w:color w:val="202833"/>
        </w:rPr>
        <w:t>Confirm the exact domain, TLS state, spelling, and path before connecting.</w:t>
      </w:r>
    </w:p>
    <w:p>
      <w:pPr>
        <w:widowControl/>
        <w:numPr>
          <w:ilvl w:val="0"/>
          <w:numId w:val="10"/>
        </w:numPr>
      </w:pPr>
      <w:r>
        <w:rPr>
          <w:rFonts w:ascii="Calibri" w:hAnsi="Calibri"/>
          <w:b/>
          <w:color w:val="202833"/>
        </w:rPr>
        <w:t xml:space="preserve">Review every prompt. </w:t>
      </w:r>
      <w:r>
        <w:rPr>
          <w:rFonts w:ascii="Calibri" w:hAnsi="Calibri"/>
          <w:color w:val="202833"/>
        </w:rPr>
        <w:t>A previously whitelisted domain can still be compromised or sold.</w:t>
      </w:r>
    </w:p>
    <w:p>
      <w:pPr>
        <w:widowControl/>
        <w:numPr>
          <w:ilvl w:val="0"/>
          <w:numId w:val="10"/>
        </w:numPr>
      </w:pPr>
      <w:r>
        <w:rPr>
          <w:rFonts w:ascii="Calibri" w:hAnsi="Calibri"/>
          <w:b/>
          <w:color w:val="202833"/>
        </w:rPr>
        <w:t xml:space="preserve">Disconnect when finished. </w:t>
      </w:r>
      <w:r>
        <w:rPr>
          <w:rFonts w:ascii="Calibri" w:hAnsi="Calibri"/>
          <w:color w:val="202833"/>
        </w:rPr>
        <w:t>Remove unused domains from the wallet if the feature is available and clear suspicious sessions in the dApp.</w:t>
      </w:r>
    </w:p>
    <w:p>
      <w:pPr>
        <w:widowControl/>
        <w:numPr>
          <w:ilvl w:val="0"/>
          <w:numId w:val="10"/>
        </w:numPr>
      </w:pPr>
      <w:r>
        <w:rPr>
          <w:rFonts w:ascii="Calibri" w:hAnsi="Calibri"/>
          <w:b/>
          <w:color w:val="202833"/>
        </w:rPr>
        <w:t xml:space="preserve">Treat messages seriously. </w:t>
      </w:r>
      <w:r>
        <w:rPr>
          <w:rFonts w:ascii="Calibri" w:hAnsi="Calibri"/>
          <w:color w:val="202833"/>
        </w:rPr>
        <w:t>A gas-free signature can still authorize login, terms, listings, or off-chain actions.</w:t>
      </w:r>
    </w:p>
    <w:p>
      <w:pPr>
        <w:widowControl/>
        <w:numPr>
          <w:ilvl w:val="0"/>
          <w:numId w:val="10"/>
        </w:numPr>
      </w:pPr>
      <w:r>
        <w:rPr>
          <w:rFonts w:ascii="Calibri" w:hAnsi="Calibri"/>
          <w:b/>
          <w:color w:val="202833"/>
        </w:rPr>
        <w:t xml:space="preserve">Reject upgrade prompts from pages. </w:t>
      </w:r>
      <w:r>
        <w:rPr>
          <w:rFonts w:ascii="Calibri" w:hAnsi="Calibri"/>
          <w:color w:val="202833"/>
        </w:rPr>
        <w:t>Wallet updates must come from the official browser/app store, never a dApp pop-up asking for a seed.</w:t>
      </w:r>
    </w:p>
    <w:p>
      <w:pPr>
        <w:pStyle w:val="Heading1"/>
        <w:keepNext/>
        <w:widowControl/>
      </w:pPr>
      <w:r>
        <w:t>10. Swaps, routing, and DeFi interaction</w:t>
      </w:r>
    </w:p>
    <w:p>
      <w:pPr>
        <w:widowControl/>
      </w:pPr>
      <w:r>
        <w:rPr>
          <w:rFonts w:ascii="Calibri" w:hAnsi="Calibri"/>
          <w:color w:val="202833"/>
        </w:rPr>
        <w:t>Rise markets in-wallet swaps and the Firefox listing says it finds routes for crypto trades. The public materials reviewed do not identify a current routing provider, current supported DEXs, fee model, or current token universe. The swap feature should therefore be understood as a transaction-orchestration layer over Aptos liquidity rather than a guaranteed exchange service. [1][12]</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800"/>
        <w:gridCol w:w="3600"/>
        <w:gridCol w:w="3960"/>
      </w:tblGrid>
      <w:tr>
        <w:trPr>
          <w:tblHeader w:val="true"/>
        </w:trPr>
        <w:tc>
          <w:tcPr>
            <w:tcW w:type="dxa" w:w="1800"/>
            <w:tcMar>
              <w:top w:w="80" w:type="dxa"/>
              <w:start w:w="120" w:type="dxa"/>
              <w:bottom w:w="80" w:type="dxa"/>
              <w:end w:w="120" w:type="dxa"/>
            </w:tcMar>
            <w:vAlign w:val="center"/>
            <w:shd w:fill="F2F4F7"/>
          </w:tcPr>
          <w:p>
            <w:pPr>
              <w:spacing w:after="0"/>
              <w:jc w:val="left"/>
            </w:pPr>
            <w:r>
              <w:rPr>
                <w:rFonts w:ascii="Calibri" w:hAnsi="Calibri"/>
                <w:b/>
                <w:color w:val="17365D"/>
                <w:sz w:val="19"/>
              </w:rPr>
              <w:t>Stage</w:t>
            </w:r>
          </w:p>
        </w:tc>
        <w:tc>
          <w:tcPr>
            <w:tcW w:type="dxa" w:w="3600"/>
            <w:tcMar>
              <w:top w:w="80" w:type="dxa"/>
              <w:start w:w="120" w:type="dxa"/>
              <w:bottom w:w="80" w:type="dxa"/>
              <w:end w:w="120" w:type="dxa"/>
            </w:tcMar>
            <w:vAlign w:val="center"/>
            <w:shd w:fill="F2F4F7"/>
          </w:tcPr>
          <w:p>
            <w:pPr>
              <w:spacing w:after="0"/>
              <w:jc w:val="left"/>
            </w:pPr>
            <w:r>
              <w:rPr>
                <w:rFonts w:ascii="Calibri" w:hAnsi="Calibri"/>
                <w:b/>
                <w:color w:val="17365D"/>
                <w:sz w:val="19"/>
              </w:rPr>
              <w:t>What happens</w:t>
            </w:r>
          </w:p>
        </w:tc>
        <w:tc>
          <w:tcPr>
            <w:tcW w:type="dxa" w:w="3960"/>
            <w:tcMar>
              <w:top w:w="80" w:type="dxa"/>
              <w:start w:w="120" w:type="dxa"/>
              <w:bottom w:w="80" w:type="dxa"/>
              <w:end w:w="120" w:type="dxa"/>
            </w:tcMar>
            <w:vAlign w:val="center"/>
            <w:shd w:fill="F2F4F7"/>
          </w:tcPr>
          <w:p>
            <w:pPr>
              <w:spacing w:after="0"/>
              <w:jc w:val="left"/>
            </w:pPr>
            <w:r>
              <w:rPr>
                <w:rFonts w:ascii="Calibri" w:hAnsi="Calibri"/>
                <w:b/>
                <w:color w:val="17365D"/>
                <w:sz w:val="19"/>
              </w:rPr>
              <w:t>Risk</w:t>
            </w:r>
          </w:p>
        </w:tc>
      </w:tr>
      <w:tr>
        <w:trPr>
          <w:cantSplit/>
        </w:trPr>
        <w:tc>
          <w:tcPr>
            <w:tcW w:type="dxa" w:w="1800"/>
            <w:shd w:fill="FBFCFD"/>
          </w:tcPr>
          <w:p>
            <w:pPr>
              <w:spacing w:after="0" w:line="252" w:lineRule="auto"/>
              <w:jc w:val="left"/>
            </w:pPr>
            <w:r>
              <w:rPr>
                <w:rFonts w:ascii="Calibri" w:hAnsi="Calibri"/>
                <w:color w:val="202833"/>
                <w:sz w:val="18"/>
              </w:rPr>
              <w:t>Quote</w:t>
            </w:r>
          </w:p>
        </w:tc>
        <w:tc>
          <w:tcPr>
            <w:tcW w:type="dxa" w:w="3600"/>
            <w:shd w:fill="FBFCFD"/>
          </w:tcPr>
          <w:p>
            <w:pPr>
              <w:spacing w:after="0" w:line="252" w:lineRule="auto"/>
              <w:jc w:val="left"/>
            </w:pPr>
            <w:r>
              <w:rPr>
                <w:rFonts w:ascii="Calibri" w:hAnsi="Calibri"/>
                <w:color w:val="202833"/>
                <w:sz w:val="18"/>
              </w:rPr>
              <w:t>A router compares pools or routes for an input and output asset.</w:t>
            </w:r>
          </w:p>
        </w:tc>
        <w:tc>
          <w:tcPr>
            <w:tcW w:type="dxa" w:w="3960"/>
            <w:shd w:fill="FBFCFD"/>
          </w:tcPr>
          <w:p>
            <w:pPr>
              <w:spacing w:after="0" w:line="252" w:lineRule="auto"/>
              <w:jc w:val="left"/>
            </w:pPr>
            <w:r>
              <w:rPr>
                <w:rFonts w:ascii="Calibri" w:hAnsi="Calibri"/>
                <w:color w:val="202833"/>
                <w:sz w:val="18"/>
              </w:rPr>
              <w:t>Stale price, spoofed asset, low liquidity, or opaque fees.</w:t>
            </w:r>
          </w:p>
        </w:tc>
      </w:tr>
      <w:tr>
        <w:trPr>
          <w:cantSplit/>
        </w:trPr>
        <w:tc>
          <w:tcPr>
            <w:tcW w:type="dxa" w:w="1800"/>
          </w:tcPr>
          <w:p>
            <w:pPr>
              <w:spacing w:after="0" w:line="252" w:lineRule="auto"/>
              <w:jc w:val="left"/>
            </w:pPr>
            <w:r>
              <w:rPr>
                <w:rFonts w:ascii="Calibri" w:hAnsi="Calibri"/>
                <w:color w:val="202833"/>
                <w:sz w:val="18"/>
              </w:rPr>
              <w:t>Route construction</w:t>
            </w:r>
          </w:p>
        </w:tc>
        <w:tc>
          <w:tcPr>
            <w:tcW w:type="dxa" w:w="3600"/>
          </w:tcPr>
          <w:p>
            <w:pPr>
              <w:spacing w:after="0" w:line="252" w:lineRule="auto"/>
              <w:jc w:val="left"/>
            </w:pPr>
            <w:r>
              <w:rPr>
                <w:rFonts w:ascii="Calibri" w:hAnsi="Calibri"/>
                <w:color w:val="202833"/>
                <w:sz w:val="18"/>
              </w:rPr>
              <w:t>One or more Move calls encode pools, amounts, deadlines, and minimum output.</w:t>
            </w:r>
          </w:p>
        </w:tc>
        <w:tc>
          <w:tcPr>
            <w:tcW w:type="dxa" w:w="3960"/>
          </w:tcPr>
          <w:p>
            <w:pPr>
              <w:spacing w:after="0" w:line="252" w:lineRule="auto"/>
              <w:jc w:val="left"/>
            </w:pPr>
            <w:r>
              <w:rPr>
                <w:rFonts w:ascii="Calibri" w:hAnsi="Calibri"/>
                <w:color w:val="202833"/>
                <w:sz w:val="18"/>
              </w:rPr>
              <w:t>Complex call may involve unverified modules or intermediate assets.</w:t>
            </w:r>
          </w:p>
        </w:tc>
      </w:tr>
      <w:tr>
        <w:trPr>
          <w:cantSplit/>
        </w:trPr>
        <w:tc>
          <w:tcPr>
            <w:tcW w:type="dxa" w:w="1800"/>
            <w:shd w:fill="FBFCFD"/>
          </w:tcPr>
          <w:p>
            <w:pPr>
              <w:spacing w:after="0" w:line="252" w:lineRule="auto"/>
              <w:jc w:val="left"/>
            </w:pPr>
            <w:r>
              <w:rPr>
                <w:rFonts w:ascii="Calibri" w:hAnsi="Calibri"/>
                <w:color w:val="202833"/>
                <w:sz w:val="18"/>
              </w:rPr>
              <w:t>Simulation</w:t>
            </w:r>
          </w:p>
        </w:tc>
        <w:tc>
          <w:tcPr>
            <w:tcW w:type="dxa" w:w="3600"/>
            <w:shd w:fill="FBFCFD"/>
          </w:tcPr>
          <w:p>
            <w:pPr>
              <w:spacing w:after="0" w:line="252" w:lineRule="auto"/>
              <w:jc w:val="left"/>
            </w:pPr>
            <w:r>
              <w:rPr>
                <w:rFonts w:ascii="Calibri" w:hAnsi="Calibri"/>
                <w:color w:val="202833"/>
                <w:sz w:val="18"/>
              </w:rPr>
              <w:t>Expected gas and asset changes are previewed.</w:t>
            </w:r>
          </w:p>
        </w:tc>
        <w:tc>
          <w:tcPr>
            <w:tcW w:type="dxa" w:w="3960"/>
            <w:shd w:fill="FBFCFD"/>
          </w:tcPr>
          <w:p>
            <w:pPr>
              <w:spacing w:after="0" w:line="252" w:lineRule="auto"/>
              <w:jc w:val="left"/>
            </w:pPr>
            <w:r>
              <w:rPr>
                <w:rFonts w:ascii="Calibri" w:hAnsi="Calibri"/>
                <w:color w:val="202833"/>
                <w:sz w:val="18"/>
              </w:rPr>
              <w:t>State or pool reserves can change before execution.</w:t>
            </w:r>
          </w:p>
        </w:tc>
      </w:tr>
      <w:tr>
        <w:trPr>
          <w:cantSplit/>
        </w:trPr>
        <w:tc>
          <w:tcPr>
            <w:tcW w:type="dxa" w:w="1800"/>
          </w:tcPr>
          <w:p>
            <w:pPr>
              <w:spacing w:after="0" w:line="252" w:lineRule="auto"/>
              <w:jc w:val="left"/>
            </w:pPr>
            <w:r>
              <w:rPr>
                <w:rFonts w:ascii="Calibri" w:hAnsi="Calibri"/>
                <w:color w:val="202833"/>
                <w:sz w:val="18"/>
              </w:rPr>
              <w:t>Slippage control</w:t>
            </w:r>
          </w:p>
        </w:tc>
        <w:tc>
          <w:tcPr>
            <w:tcW w:type="dxa" w:w="3600"/>
          </w:tcPr>
          <w:p>
            <w:pPr>
              <w:spacing w:after="0" w:line="252" w:lineRule="auto"/>
              <w:jc w:val="left"/>
            </w:pPr>
            <w:r>
              <w:rPr>
                <w:rFonts w:ascii="Calibri" w:hAnsi="Calibri"/>
                <w:color w:val="202833"/>
                <w:sz w:val="18"/>
              </w:rPr>
              <w:t>Minimum acceptable output protects against adverse movement.</w:t>
            </w:r>
          </w:p>
        </w:tc>
        <w:tc>
          <w:tcPr>
            <w:tcW w:type="dxa" w:w="3960"/>
          </w:tcPr>
          <w:p>
            <w:pPr>
              <w:spacing w:after="0" w:line="252" w:lineRule="auto"/>
              <w:jc w:val="left"/>
            </w:pPr>
            <w:r>
              <w:rPr>
                <w:rFonts w:ascii="Calibri" w:hAnsi="Calibri"/>
                <w:color w:val="202833"/>
                <w:sz w:val="18"/>
              </w:rPr>
              <w:t>Loose slippage invites price impact or sandwich-style extraction; tight slippage can fail.</w:t>
            </w:r>
          </w:p>
        </w:tc>
      </w:tr>
      <w:tr>
        <w:trPr>
          <w:cantSplit/>
        </w:trPr>
        <w:tc>
          <w:tcPr>
            <w:tcW w:type="dxa" w:w="1800"/>
            <w:shd w:fill="FBFCFD"/>
          </w:tcPr>
          <w:p>
            <w:pPr>
              <w:spacing w:after="0" w:line="252" w:lineRule="auto"/>
              <w:jc w:val="left"/>
            </w:pPr>
            <w:r>
              <w:rPr>
                <w:rFonts w:ascii="Calibri" w:hAnsi="Calibri"/>
                <w:color w:val="202833"/>
                <w:sz w:val="18"/>
              </w:rPr>
              <w:t>Execution</w:t>
            </w:r>
          </w:p>
        </w:tc>
        <w:tc>
          <w:tcPr>
            <w:tcW w:type="dxa" w:w="3600"/>
            <w:shd w:fill="FBFCFD"/>
          </w:tcPr>
          <w:p>
            <w:pPr>
              <w:spacing w:after="0" w:line="252" w:lineRule="auto"/>
              <w:jc w:val="left"/>
            </w:pPr>
            <w:r>
              <w:rPr>
                <w:rFonts w:ascii="Calibri" w:hAnsi="Calibri"/>
                <w:color w:val="202833"/>
                <w:sz w:val="18"/>
              </w:rPr>
              <w:t>Aptos commits the swap or aborts.</w:t>
            </w:r>
          </w:p>
        </w:tc>
        <w:tc>
          <w:tcPr>
            <w:tcW w:type="dxa" w:w="3960"/>
            <w:shd w:fill="FBFCFD"/>
          </w:tcPr>
          <w:p>
            <w:pPr>
              <w:spacing w:after="0" w:line="252" w:lineRule="auto"/>
              <w:jc w:val="left"/>
            </w:pPr>
            <w:r>
              <w:rPr>
                <w:rFonts w:ascii="Calibri" w:hAnsi="Calibri"/>
                <w:color w:val="202833"/>
                <w:sz w:val="18"/>
              </w:rPr>
              <w:t>A failed transaction can still consume APT gas.</w:t>
            </w:r>
          </w:p>
        </w:tc>
      </w:tr>
      <w:tr>
        <w:trPr>
          <w:cantSplit/>
        </w:trPr>
        <w:tc>
          <w:tcPr>
            <w:tcW w:type="dxa" w:w="1800"/>
          </w:tcPr>
          <w:p>
            <w:pPr>
              <w:spacing w:after="0" w:line="252" w:lineRule="auto"/>
              <w:jc w:val="left"/>
            </w:pPr>
            <w:r>
              <w:rPr>
                <w:rFonts w:ascii="Calibri" w:hAnsi="Calibri"/>
                <w:color w:val="202833"/>
                <w:sz w:val="18"/>
              </w:rPr>
              <w:t>Post-trade display</w:t>
            </w:r>
          </w:p>
        </w:tc>
        <w:tc>
          <w:tcPr>
            <w:tcW w:type="dxa" w:w="3600"/>
          </w:tcPr>
          <w:p>
            <w:pPr>
              <w:spacing w:after="0" w:line="252" w:lineRule="auto"/>
              <w:jc w:val="left"/>
            </w:pPr>
            <w:r>
              <w:rPr>
                <w:rFonts w:ascii="Calibri" w:hAnsi="Calibri"/>
                <w:color w:val="202833"/>
                <w:sz w:val="18"/>
              </w:rPr>
              <w:t>Indexer and price feed update the portfolio.</w:t>
            </w:r>
          </w:p>
        </w:tc>
        <w:tc>
          <w:tcPr>
            <w:tcW w:type="dxa" w:w="3960"/>
          </w:tcPr>
          <w:p>
            <w:pPr>
              <w:spacing w:after="0" w:line="252" w:lineRule="auto"/>
              <w:jc w:val="left"/>
            </w:pPr>
            <w:r>
              <w:rPr>
                <w:rFonts w:ascii="Calibri" w:hAnsi="Calibri"/>
                <w:color w:val="202833"/>
                <w:sz w:val="18"/>
              </w:rPr>
              <w:t>Delayed or missing metadata can make the output appear absent.</w:t>
            </w:r>
          </w:p>
        </w:tc>
      </w:tr>
    </w:tbl>
    <w:p>
      <w:pPr>
        <w:widowControl/>
        <w:spacing w:after="0"/>
      </w:pPr>
    </w:p>
    <w:p>
      <w:pPr>
        <w:pStyle w:val="Heading2"/>
        <w:keepNext/>
        <w:widowControl/>
      </w:pPr>
      <w:r>
        <w:t>10.1 Safe swap checklist</w:t>
      </w:r>
    </w:p>
    <w:p>
      <w:pPr>
        <w:widowControl/>
        <w:numPr>
          <w:ilvl w:val="0"/>
          <w:numId w:val="10"/>
        </w:numPr>
      </w:pPr>
      <w:r>
        <w:rPr>
          <w:rFonts w:ascii="Calibri" w:hAnsi="Calibri"/>
          <w:b/>
          <w:color w:val="202833"/>
        </w:rPr>
        <w:t xml:space="preserve">Verify both asset identifiers. </w:t>
      </w:r>
      <w:r>
        <w:rPr>
          <w:rFonts w:ascii="Calibri" w:hAnsi="Calibri"/>
          <w:color w:val="202833"/>
        </w:rPr>
        <w:t>Symbols and logos are insufficient, especially for USDC, USDt, bridged assets, and liquid-staking tokens.</w:t>
      </w:r>
    </w:p>
    <w:p>
      <w:pPr>
        <w:widowControl/>
        <w:numPr>
          <w:ilvl w:val="0"/>
          <w:numId w:val="10"/>
        </w:numPr>
      </w:pPr>
      <w:r>
        <w:rPr>
          <w:rFonts w:ascii="Calibri" w:hAnsi="Calibri"/>
          <w:b/>
          <w:color w:val="202833"/>
        </w:rPr>
        <w:t xml:space="preserve">Inspect the route and provider. </w:t>
      </w:r>
      <w:r>
        <w:rPr>
          <w:rFonts w:ascii="Calibri" w:hAnsi="Calibri"/>
          <w:color w:val="202833"/>
        </w:rPr>
        <w:t>Know which contracts, pools, and intermediate assets will be used.</w:t>
      </w:r>
    </w:p>
    <w:p>
      <w:pPr>
        <w:widowControl/>
        <w:numPr>
          <w:ilvl w:val="0"/>
          <w:numId w:val="10"/>
        </w:numPr>
      </w:pPr>
      <w:r>
        <w:rPr>
          <w:rFonts w:ascii="Calibri" w:hAnsi="Calibri"/>
          <w:b/>
          <w:color w:val="202833"/>
        </w:rPr>
        <w:t xml:space="preserve">Set amount and slippage deliberately. </w:t>
      </w:r>
      <w:r>
        <w:rPr>
          <w:rFonts w:ascii="Calibri" w:hAnsi="Calibri"/>
          <w:color w:val="202833"/>
        </w:rPr>
        <w:t>Do not accept defaults for illiquid or volatile tokens.</w:t>
      </w:r>
    </w:p>
    <w:p>
      <w:pPr>
        <w:widowControl/>
        <w:numPr>
          <w:ilvl w:val="0"/>
          <w:numId w:val="10"/>
        </w:numPr>
      </w:pPr>
      <w:r>
        <w:rPr>
          <w:rFonts w:ascii="Calibri" w:hAnsi="Calibri"/>
          <w:b/>
          <w:color w:val="202833"/>
        </w:rPr>
        <w:t xml:space="preserve">Compare an independent quote. </w:t>
      </w:r>
      <w:r>
        <w:rPr>
          <w:rFonts w:ascii="Calibri" w:hAnsi="Calibri"/>
          <w:color w:val="202833"/>
        </w:rPr>
        <w:t>A large difference can reveal price impact, a wrong asset, or stale data.</w:t>
      </w:r>
    </w:p>
    <w:p>
      <w:pPr>
        <w:widowControl/>
        <w:numPr>
          <w:ilvl w:val="0"/>
          <w:numId w:val="10"/>
        </w:numPr>
      </w:pPr>
      <w:r>
        <w:rPr>
          <w:rFonts w:ascii="Calibri" w:hAnsi="Calibri"/>
          <w:b/>
          <w:color w:val="202833"/>
        </w:rPr>
        <w:t xml:space="preserve">Simulate and read net changes. </w:t>
      </w:r>
      <w:r>
        <w:rPr>
          <w:rFonts w:ascii="Calibri" w:hAnsi="Calibri"/>
          <w:color w:val="202833"/>
        </w:rPr>
        <w:t>Check every asset leaving and entering, not just the headline exchange rate.</w:t>
      </w:r>
    </w:p>
    <w:p>
      <w:pPr>
        <w:widowControl/>
        <w:numPr>
          <w:ilvl w:val="0"/>
          <w:numId w:val="10"/>
        </w:numPr>
      </w:pPr>
      <w:r>
        <w:rPr>
          <w:rFonts w:ascii="Calibri" w:hAnsi="Calibri"/>
          <w:b/>
          <w:color w:val="202833"/>
        </w:rPr>
        <w:t xml:space="preserve">Start small. </w:t>
      </w:r>
      <w:r>
        <w:rPr>
          <w:rFonts w:ascii="Calibri" w:hAnsi="Calibri"/>
          <w:color w:val="202833"/>
        </w:rPr>
        <w:t>Prove that the exact route and output asset behave as expected before scaling.</w:t>
      </w:r>
    </w:p>
    <w:p>
      <w:pPr>
        <w:widowControl/>
        <w:numPr>
          <w:ilvl w:val="0"/>
          <w:numId w:val="10"/>
        </w:numPr>
      </w:pPr>
      <w:r>
        <w:rPr>
          <w:rFonts w:ascii="Calibri" w:hAnsi="Calibri"/>
          <w:b/>
          <w:color w:val="202833"/>
        </w:rPr>
        <w:t xml:space="preserve">Preserve gas. </w:t>
      </w:r>
      <w:r>
        <w:rPr>
          <w:rFonts w:ascii="Calibri" w:hAnsi="Calibri"/>
          <w:color w:val="202833"/>
        </w:rPr>
        <w:t>Do not consume the entire APT balance in the input or fee.</w:t>
      </w:r>
    </w:p>
    <w:p>
      <w:pPr>
        <w:pStyle w:val="Heading2"/>
        <w:keepNext/>
        <w:widowControl/>
      </w:pPr>
      <w:r>
        <w:t>10.2 DeFi risks beyond the wallet</w:t>
      </w:r>
    </w:p>
    <w:p>
      <w:pPr>
        <w:widowControl/>
      </w:pPr>
      <w:r>
        <w:rPr>
          <w:rFonts w:ascii="Calibri" w:hAnsi="Calibri"/>
          <w:color w:val="202833"/>
        </w:rPr>
        <w:t>The wallet signs; it does not insure the contract. Aptos DeFi can expose users to smart-contract defects, upgrade/admin keys, oracle manipulation, liquidation, stablecoin depegging, bridge failure, low liquidity, LP impermanent loss, dispatchable-FA restrictions, and governance changes. Transaction simulation shows a projected execution, not the future solvency of a protocol or the future redeemability of a token.</w:t>
      </w:r>
    </w:p>
    <w:p>
      <w:pPr>
        <w:pStyle w:val="Heading1"/>
        <w:keepNext/>
        <w:widowControl/>
      </w:pPr>
      <w:r>
        <w:t>11. Staking and liquid staking</w:t>
      </w:r>
    </w:p>
    <w:p>
      <w:pPr>
        <w:widowControl/>
      </w:pPr>
      <w:r>
        <w:rPr>
          <w:rFonts w:ascii="Calibri" w:hAnsi="Calibri"/>
          <w:color w:val="202833"/>
        </w:rPr>
        <w:t>Rise's website states that users can stake tokens, but the reviewed public materials do not identify the current staking provider, validator-selection method, minimum, commission, lockup, or whether the feature performs native delegation, pooled staking, or liquid staking. Aptos protocol staking separates owner, operator, and voter roles; direct validator participation has a high on-chain minimum, while delegation and liquid-staking protocols can create retail access. [1][24]</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850"/>
        <w:gridCol w:w="3400"/>
        <w:gridCol w:w="4110"/>
      </w:tblGrid>
      <w:tr>
        <w:trPr>
          <w:tblHeader w:val="true"/>
        </w:trPr>
        <w:tc>
          <w:tcPr>
            <w:tcW w:type="dxa" w:w="1850"/>
            <w:tcMar>
              <w:top w:w="80" w:type="dxa"/>
              <w:start w:w="120" w:type="dxa"/>
              <w:bottom w:w="80" w:type="dxa"/>
              <w:end w:w="120" w:type="dxa"/>
            </w:tcMar>
            <w:vAlign w:val="center"/>
            <w:shd w:fill="F2F4F7"/>
          </w:tcPr>
          <w:p>
            <w:pPr>
              <w:spacing w:after="0"/>
              <w:jc w:val="left"/>
            </w:pPr>
            <w:r>
              <w:rPr>
                <w:rFonts w:ascii="Calibri" w:hAnsi="Calibri"/>
                <w:b/>
                <w:color w:val="17365D"/>
                <w:sz w:val="19"/>
              </w:rPr>
              <w:t>Model</w:t>
            </w:r>
          </w:p>
        </w:tc>
        <w:tc>
          <w:tcPr>
            <w:tcW w:type="dxa" w:w="3400"/>
            <w:tcMar>
              <w:top w:w="80" w:type="dxa"/>
              <w:start w:w="120" w:type="dxa"/>
              <w:bottom w:w="80" w:type="dxa"/>
              <w:end w:w="120" w:type="dxa"/>
            </w:tcMar>
            <w:vAlign w:val="center"/>
            <w:shd w:fill="F2F4F7"/>
          </w:tcPr>
          <w:p>
            <w:pPr>
              <w:spacing w:after="0"/>
              <w:jc w:val="left"/>
            </w:pPr>
            <w:r>
              <w:rPr>
                <w:rFonts w:ascii="Calibri" w:hAnsi="Calibri"/>
                <w:b/>
                <w:color w:val="17365D"/>
                <w:sz w:val="19"/>
              </w:rPr>
              <w:t>Asset received/controlled</w:t>
            </w:r>
          </w:p>
        </w:tc>
        <w:tc>
          <w:tcPr>
            <w:tcW w:type="dxa" w:w="4110"/>
            <w:tcMar>
              <w:top w:w="80" w:type="dxa"/>
              <w:start w:w="120" w:type="dxa"/>
              <w:bottom w:w="80" w:type="dxa"/>
              <w:end w:w="120" w:type="dxa"/>
            </w:tcMar>
            <w:vAlign w:val="center"/>
            <w:shd w:fill="F2F4F7"/>
          </w:tcPr>
          <w:p>
            <w:pPr>
              <w:spacing w:after="0"/>
              <w:jc w:val="left"/>
            </w:pPr>
            <w:r>
              <w:rPr>
                <w:rFonts w:ascii="Calibri" w:hAnsi="Calibri"/>
                <w:b/>
                <w:color w:val="17365D"/>
                <w:sz w:val="19"/>
              </w:rPr>
              <w:t>Principal risks</w:t>
            </w:r>
          </w:p>
        </w:tc>
      </w:tr>
      <w:tr>
        <w:trPr>
          <w:cantSplit/>
        </w:trPr>
        <w:tc>
          <w:tcPr>
            <w:tcW w:type="dxa" w:w="1850"/>
            <w:shd w:fill="FBFCFD"/>
          </w:tcPr>
          <w:p>
            <w:pPr>
              <w:spacing w:after="0" w:line="252" w:lineRule="auto"/>
              <w:jc w:val="left"/>
            </w:pPr>
            <w:r>
              <w:rPr>
                <w:rFonts w:ascii="Calibri" w:hAnsi="Calibri"/>
                <w:color w:val="202833"/>
                <w:sz w:val="18"/>
              </w:rPr>
              <w:t>Native stake-pool role</w:t>
            </w:r>
          </w:p>
        </w:tc>
        <w:tc>
          <w:tcPr>
            <w:tcW w:type="dxa" w:w="3400"/>
            <w:shd w:fill="FBFCFD"/>
          </w:tcPr>
          <w:p>
            <w:pPr>
              <w:spacing w:after="0" w:line="252" w:lineRule="auto"/>
              <w:jc w:val="left"/>
            </w:pPr>
            <w:r>
              <w:rPr>
                <w:rFonts w:ascii="Calibri" w:hAnsi="Calibri"/>
                <w:color w:val="202833"/>
                <w:sz w:val="18"/>
              </w:rPr>
              <w:t>APT remains governed by on-chain stake-pool capabilities.</w:t>
            </w:r>
          </w:p>
        </w:tc>
        <w:tc>
          <w:tcPr>
            <w:tcW w:type="dxa" w:w="4110"/>
            <w:shd w:fill="FBFCFD"/>
          </w:tcPr>
          <w:p>
            <w:pPr>
              <w:spacing w:after="0" w:line="252" w:lineRule="auto"/>
              <w:jc w:val="left"/>
            </w:pPr>
            <w:r>
              <w:rPr>
                <w:rFonts w:ascii="Calibri" w:hAnsi="Calibri"/>
                <w:color w:val="202833"/>
                <w:sz w:val="18"/>
              </w:rPr>
              <w:t>Validator performance, lockup, commission, operational errors, and governance configuration.</w:t>
            </w:r>
          </w:p>
        </w:tc>
      </w:tr>
      <w:tr>
        <w:trPr>
          <w:cantSplit/>
        </w:trPr>
        <w:tc>
          <w:tcPr>
            <w:tcW w:type="dxa" w:w="1850"/>
          </w:tcPr>
          <w:p>
            <w:pPr>
              <w:spacing w:after="0" w:line="252" w:lineRule="auto"/>
              <w:jc w:val="left"/>
            </w:pPr>
            <w:r>
              <w:rPr>
                <w:rFonts w:ascii="Calibri" w:hAnsi="Calibri"/>
                <w:color w:val="202833"/>
                <w:sz w:val="18"/>
              </w:rPr>
              <w:t>Delegation pool</w:t>
            </w:r>
          </w:p>
        </w:tc>
        <w:tc>
          <w:tcPr>
            <w:tcW w:type="dxa" w:w="3400"/>
          </w:tcPr>
          <w:p>
            <w:pPr>
              <w:spacing w:after="0" w:line="252" w:lineRule="auto"/>
              <w:jc w:val="left"/>
            </w:pPr>
            <w:r>
              <w:rPr>
                <w:rFonts w:ascii="Calibri" w:hAnsi="Calibri"/>
                <w:color w:val="202833"/>
                <w:sz w:val="18"/>
              </w:rPr>
              <w:t>User delegates APT through a pooled contract/system.</w:t>
            </w:r>
          </w:p>
        </w:tc>
        <w:tc>
          <w:tcPr>
            <w:tcW w:type="dxa" w:w="4110"/>
          </w:tcPr>
          <w:p>
            <w:pPr>
              <w:spacing w:after="0" w:line="252" w:lineRule="auto"/>
              <w:jc w:val="left"/>
            </w:pPr>
            <w:r>
              <w:rPr>
                <w:rFonts w:ascii="Calibri" w:hAnsi="Calibri"/>
                <w:color w:val="202833"/>
                <w:sz w:val="18"/>
              </w:rPr>
              <w:t>Pool implementation, withdrawal timing, validator selection, and UI interpretation.</w:t>
            </w:r>
          </w:p>
        </w:tc>
      </w:tr>
      <w:tr>
        <w:trPr>
          <w:cantSplit/>
        </w:trPr>
        <w:tc>
          <w:tcPr>
            <w:tcW w:type="dxa" w:w="1850"/>
            <w:shd w:fill="FBFCFD"/>
          </w:tcPr>
          <w:p>
            <w:pPr>
              <w:spacing w:after="0" w:line="252" w:lineRule="auto"/>
              <w:jc w:val="left"/>
            </w:pPr>
            <w:r>
              <w:rPr>
                <w:rFonts w:ascii="Calibri" w:hAnsi="Calibri"/>
                <w:color w:val="202833"/>
                <w:sz w:val="18"/>
              </w:rPr>
              <w:t>Liquid staking</w:t>
            </w:r>
          </w:p>
        </w:tc>
        <w:tc>
          <w:tcPr>
            <w:tcW w:type="dxa" w:w="3400"/>
            <w:shd w:fill="FBFCFD"/>
          </w:tcPr>
          <w:p>
            <w:pPr>
              <w:spacing w:after="0" w:line="252" w:lineRule="auto"/>
              <w:jc w:val="left"/>
            </w:pPr>
            <w:r>
              <w:rPr>
                <w:rFonts w:ascii="Calibri" w:hAnsi="Calibri"/>
                <w:color w:val="202833"/>
                <w:sz w:val="18"/>
              </w:rPr>
              <w:t>APT is deposited and a receipt token such as amAPT, stAPT, thAPT, or sthAPT is received.</w:t>
            </w:r>
          </w:p>
        </w:tc>
        <w:tc>
          <w:tcPr>
            <w:tcW w:type="dxa" w:w="4110"/>
            <w:shd w:fill="FBFCFD"/>
          </w:tcPr>
          <w:p>
            <w:pPr>
              <w:spacing w:after="0" w:line="252" w:lineRule="auto"/>
              <w:jc w:val="left"/>
            </w:pPr>
            <w:r>
              <w:rPr>
                <w:rFonts w:ascii="Calibri" w:hAnsi="Calibri"/>
                <w:color w:val="202833"/>
                <w:sz w:val="18"/>
              </w:rPr>
              <w:t>Smart-contract, token-price, redemption, liquidity, validator, depeg, and composability risk. [29][30]</w:t>
            </w:r>
          </w:p>
        </w:tc>
      </w:tr>
      <w:tr>
        <w:trPr>
          <w:cantSplit/>
        </w:trPr>
        <w:tc>
          <w:tcPr>
            <w:tcW w:type="dxa" w:w="1850"/>
          </w:tcPr>
          <w:p>
            <w:pPr>
              <w:spacing w:after="0" w:line="252" w:lineRule="auto"/>
              <w:jc w:val="left"/>
            </w:pPr>
            <w:r>
              <w:rPr>
                <w:rFonts w:ascii="Calibri" w:hAnsi="Calibri"/>
                <w:color w:val="202833"/>
                <w:sz w:val="18"/>
              </w:rPr>
              <w:t>Exchange staking</w:t>
            </w:r>
          </w:p>
        </w:tc>
        <w:tc>
          <w:tcPr>
            <w:tcW w:type="dxa" w:w="3400"/>
          </w:tcPr>
          <w:p>
            <w:pPr>
              <w:spacing w:after="0" w:line="252" w:lineRule="auto"/>
              <w:jc w:val="left"/>
            </w:pPr>
            <w:r>
              <w:rPr>
                <w:rFonts w:ascii="Calibri" w:hAnsi="Calibri"/>
                <w:color w:val="202833"/>
                <w:sz w:val="18"/>
              </w:rPr>
              <w:t>Custodial claim at a centralized provider.</w:t>
            </w:r>
          </w:p>
        </w:tc>
        <w:tc>
          <w:tcPr>
            <w:tcW w:type="dxa" w:w="4110"/>
          </w:tcPr>
          <w:p>
            <w:pPr>
              <w:spacing w:after="0" w:line="252" w:lineRule="auto"/>
              <w:jc w:val="left"/>
            </w:pPr>
            <w:r>
              <w:rPr>
                <w:rFonts w:ascii="Calibri" w:hAnsi="Calibri"/>
                <w:color w:val="202833"/>
                <w:sz w:val="18"/>
              </w:rPr>
              <w:t>Not a Rise self-custody function; counterparty, withdrawal, and regulatory risk.</w:t>
            </w:r>
          </w:p>
        </w:tc>
      </w:tr>
    </w:tbl>
    <w:p>
      <w:pPr>
        <w:widowControl/>
        <w:spacing w:after="0"/>
      </w:pPr>
    </w:p>
    <w:p>
      <w:pPr>
        <w:pStyle w:val="Heading2"/>
        <w:keepNext/>
        <w:widowControl/>
      </w:pPr>
      <w:r>
        <w:t>11.1 Questions Rise users must answer before staking</w:t>
      </w:r>
    </w:p>
    <w:p>
      <w:pPr>
        <w:widowControl/>
        <w:numPr>
          <w:ilvl w:val="0"/>
          <w:numId w:val="10"/>
        </w:numPr>
      </w:pPr>
      <w:r>
        <w:rPr>
          <w:rFonts w:ascii="Calibri" w:hAnsi="Calibri"/>
          <w:b/>
          <w:color w:val="202833"/>
        </w:rPr>
        <w:t xml:space="preserve">What exact transaction is being signed? </w:t>
      </w:r>
      <w:r>
        <w:rPr>
          <w:rFonts w:ascii="Calibri" w:hAnsi="Calibri"/>
          <w:color w:val="202833"/>
        </w:rPr>
        <w:t>Identify module, function, recipient pool, amount, and capabilities or objects transferred.</w:t>
      </w:r>
    </w:p>
    <w:p>
      <w:pPr>
        <w:widowControl/>
        <w:numPr>
          <w:ilvl w:val="0"/>
          <w:numId w:val="10"/>
        </w:numPr>
      </w:pPr>
      <w:r>
        <w:rPr>
          <w:rFonts w:ascii="Calibri" w:hAnsi="Calibri"/>
          <w:b/>
          <w:color w:val="202833"/>
        </w:rPr>
        <w:t xml:space="preserve">Is APT still directly controlled? </w:t>
      </w:r>
      <w:r>
        <w:rPr>
          <w:rFonts w:ascii="Calibri" w:hAnsi="Calibri"/>
          <w:color w:val="202833"/>
        </w:rPr>
        <w:t>Distinguish native delegation from exchanging APT for a receipt or derivative token.</w:t>
      </w:r>
    </w:p>
    <w:p>
      <w:pPr>
        <w:widowControl/>
        <w:numPr>
          <w:ilvl w:val="0"/>
          <w:numId w:val="10"/>
        </w:numPr>
      </w:pPr>
      <w:r>
        <w:rPr>
          <w:rFonts w:ascii="Calibri" w:hAnsi="Calibri"/>
          <w:b/>
          <w:color w:val="202833"/>
        </w:rPr>
        <w:t xml:space="preserve">Who selects validators? </w:t>
      </w:r>
      <w:r>
        <w:rPr>
          <w:rFonts w:ascii="Calibri" w:hAnsi="Calibri"/>
          <w:color w:val="202833"/>
        </w:rPr>
        <w:t>Assess concentration, performance, commission, and governance powers.</w:t>
      </w:r>
    </w:p>
    <w:p>
      <w:pPr>
        <w:widowControl/>
        <w:numPr>
          <w:ilvl w:val="0"/>
          <w:numId w:val="10"/>
        </w:numPr>
      </w:pPr>
      <w:r>
        <w:rPr>
          <w:rFonts w:ascii="Calibri" w:hAnsi="Calibri"/>
          <w:b/>
          <w:color w:val="202833"/>
        </w:rPr>
        <w:t xml:space="preserve">What is the exit path? </w:t>
      </w:r>
      <w:r>
        <w:rPr>
          <w:rFonts w:ascii="Calibri" w:hAnsi="Calibri"/>
          <w:color w:val="202833"/>
        </w:rPr>
        <w:t>Know lockup, unbonding, instant-withdraw liquidity, fees, and emergency controls.</w:t>
      </w:r>
    </w:p>
    <w:p>
      <w:pPr>
        <w:widowControl/>
        <w:numPr>
          <w:ilvl w:val="0"/>
          <w:numId w:val="10"/>
        </w:numPr>
      </w:pPr>
      <w:r>
        <w:rPr>
          <w:rFonts w:ascii="Calibri" w:hAnsi="Calibri"/>
          <w:b/>
          <w:color w:val="202833"/>
        </w:rPr>
        <w:t xml:space="preserve">What token represents the position? </w:t>
      </w:r>
      <w:r>
        <w:rPr>
          <w:rFonts w:ascii="Calibri" w:hAnsi="Calibri"/>
          <w:color w:val="202833"/>
        </w:rPr>
        <w:t>Verify exact identifier; amAPT and stAPT are not interchangeable with APT or with Thala tokens.</w:t>
      </w:r>
    </w:p>
    <w:p>
      <w:pPr>
        <w:widowControl/>
        <w:numPr>
          <w:ilvl w:val="0"/>
          <w:numId w:val="10"/>
        </w:numPr>
      </w:pPr>
      <w:r>
        <w:rPr>
          <w:rFonts w:ascii="Calibri" w:hAnsi="Calibri"/>
          <w:b/>
          <w:color w:val="202833"/>
        </w:rPr>
        <w:t xml:space="preserve">Can the old wallet display and transfer it? </w:t>
      </w:r>
      <w:r>
        <w:rPr>
          <w:rFonts w:ascii="Calibri" w:hAnsi="Calibri"/>
          <w:color w:val="202833"/>
        </w:rPr>
        <w:t>A staking position can exist on-chain even if Rise cannot render the modern token or withdrawal function.</w:t>
      </w:r>
    </w:p>
    <w:p>
      <w:pPr>
        <w:pStyle w:val="Heading1"/>
        <w:keepNext/>
        <w:widowControl/>
      </w:pPr>
      <w:r>
        <w:t>12. NFTs, Digital Assets, Aptos Names, and notifications</w:t>
      </w:r>
    </w:p>
    <w:p>
      <w:pPr>
        <w:pStyle w:val="Heading2"/>
        <w:keepNext/>
        <w:widowControl/>
      </w:pPr>
      <w:r>
        <w:t>12.1 NFT and Digital Asset management</w:t>
      </w:r>
    </w:p>
    <w:p>
      <w:pPr>
        <w:widowControl/>
      </w:pPr>
      <w:r>
        <w:rPr>
          <w:rFonts w:ascii="Calibri" w:hAnsi="Calibri"/>
          <w:color w:val="202833"/>
        </w:rPr>
        <w:t>Rise advertises an NFT gallery, NFT transfers, profile-picture selection, notifications, and collection subscriptions. Its FAQ also says that a user must enable receiving NFTs through an on-chain transaction. That statement reflects the early Aptos token model and should not be generalized to every modern Digital Asset object. Current ownership and transfer semantics depend on the asset standard and contract. [1][20][21]</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800"/>
        <w:gridCol w:w="3520"/>
        <w:gridCol w:w="4040"/>
      </w:tblGrid>
      <w:tr>
        <w:trPr>
          <w:tblHeader w:val="true"/>
        </w:trPr>
        <w:tc>
          <w:tcPr>
            <w:tcW w:type="dxa" w:w="1800"/>
            <w:tcMar>
              <w:top w:w="80" w:type="dxa"/>
              <w:start w:w="120" w:type="dxa"/>
              <w:bottom w:w="80" w:type="dxa"/>
              <w:end w:w="120" w:type="dxa"/>
            </w:tcMar>
            <w:vAlign w:val="center"/>
            <w:shd w:fill="F2F4F7"/>
          </w:tcPr>
          <w:p>
            <w:pPr>
              <w:spacing w:after="0"/>
              <w:jc w:val="left"/>
            </w:pPr>
            <w:r>
              <w:rPr>
                <w:rFonts w:ascii="Calibri" w:hAnsi="Calibri"/>
                <w:b/>
                <w:color w:val="17365D"/>
                <w:sz w:val="19"/>
              </w:rPr>
              <w:t>Feature</w:t>
            </w:r>
          </w:p>
        </w:tc>
        <w:tc>
          <w:tcPr>
            <w:tcW w:type="dxa" w:w="3520"/>
            <w:tcMar>
              <w:top w:w="80" w:type="dxa"/>
              <w:start w:w="120" w:type="dxa"/>
              <w:bottom w:w="80" w:type="dxa"/>
              <w:end w:w="120" w:type="dxa"/>
            </w:tcMar>
            <w:vAlign w:val="center"/>
            <w:shd w:fill="F2F4F7"/>
          </w:tcPr>
          <w:p>
            <w:pPr>
              <w:spacing w:after="0"/>
              <w:jc w:val="left"/>
            </w:pPr>
            <w:r>
              <w:rPr>
                <w:rFonts w:ascii="Calibri" w:hAnsi="Calibri"/>
                <w:b/>
                <w:color w:val="17365D"/>
                <w:sz w:val="19"/>
              </w:rPr>
              <w:t>Value</w:t>
            </w:r>
          </w:p>
        </w:tc>
        <w:tc>
          <w:tcPr>
            <w:tcW w:type="dxa" w:w="4040"/>
            <w:tcMar>
              <w:top w:w="80" w:type="dxa"/>
              <w:start w:w="120" w:type="dxa"/>
              <w:bottom w:w="80" w:type="dxa"/>
              <w:end w:w="120" w:type="dxa"/>
            </w:tcMar>
            <w:vAlign w:val="center"/>
            <w:shd w:fill="F2F4F7"/>
          </w:tcPr>
          <w:p>
            <w:pPr>
              <w:spacing w:after="0"/>
              <w:jc w:val="left"/>
            </w:pPr>
            <w:r>
              <w:rPr>
                <w:rFonts w:ascii="Calibri" w:hAnsi="Calibri"/>
                <w:b/>
                <w:color w:val="17365D"/>
                <w:sz w:val="19"/>
              </w:rPr>
              <w:t>Risk or limitation</w:t>
            </w:r>
          </w:p>
        </w:tc>
      </w:tr>
      <w:tr>
        <w:trPr>
          <w:cantSplit/>
        </w:trPr>
        <w:tc>
          <w:tcPr>
            <w:tcW w:type="dxa" w:w="1800"/>
            <w:shd w:fill="FBFCFD"/>
          </w:tcPr>
          <w:p>
            <w:pPr>
              <w:spacing w:after="0" w:line="252" w:lineRule="auto"/>
              <w:jc w:val="left"/>
            </w:pPr>
            <w:r>
              <w:rPr>
                <w:rFonts w:ascii="Calibri" w:hAnsi="Calibri"/>
                <w:color w:val="202833"/>
                <w:sz w:val="18"/>
              </w:rPr>
              <w:t>Gallery</w:t>
            </w:r>
          </w:p>
        </w:tc>
        <w:tc>
          <w:tcPr>
            <w:tcW w:type="dxa" w:w="3520"/>
            <w:shd w:fill="FBFCFD"/>
          </w:tcPr>
          <w:p>
            <w:pPr>
              <w:spacing w:after="0" w:line="252" w:lineRule="auto"/>
              <w:jc w:val="left"/>
            </w:pPr>
            <w:r>
              <w:rPr>
                <w:rFonts w:ascii="Calibri" w:hAnsi="Calibri"/>
                <w:color w:val="202833"/>
                <w:sz w:val="18"/>
              </w:rPr>
              <w:t>Aggregates owned NFTs and media.</w:t>
            </w:r>
          </w:p>
        </w:tc>
        <w:tc>
          <w:tcPr>
            <w:tcW w:type="dxa" w:w="4040"/>
            <w:shd w:fill="FBFCFD"/>
          </w:tcPr>
          <w:p>
            <w:pPr>
              <w:spacing w:after="0" w:line="252" w:lineRule="auto"/>
              <w:jc w:val="left"/>
            </w:pPr>
            <w:r>
              <w:rPr>
                <w:rFonts w:ascii="Calibri" w:hAnsi="Calibri"/>
                <w:color w:val="202833"/>
                <w:sz w:val="18"/>
              </w:rPr>
              <w:t>Indexer or media failure can hide an owned object; media can be malicious or mutable.</w:t>
            </w:r>
          </w:p>
        </w:tc>
      </w:tr>
      <w:tr>
        <w:trPr>
          <w:cantSplit/>
        </w:trPr>
        <w:tc>
          <w:tcPr>
            <w:tcW w:type="dxa" w:w="1800"/>
          </w:tcPr>
          <w:p>
            <w:pPr>
              <w:spacing w:after="0" w:line="252" w:lineRule="auto"/>
              <w:jc w:val="left"/>
            </w:pPr>
            <w:r>
              <w:rPr>
                <w:rFonts w:ascii="Calibri" w:hAnsi="Calibri"/>
                <w:color w:val="202833"/>
                <w:sz w:val="18"/>
              </w:rPr>
              <w:t>Receive opt-in</w:t>
            </w:r>
          </w:p>
        </w:tc>
        <w:tc>
          <w:tcPr>
            <w:tcW w:type="dxa" w:w="3520"/>
          </w:tcPr>
          <w:p>
            <w:pPr>
              <w:spacing w:after="0" w:line="252" w:lineRule="auto"/>
              <w:jc w:val="left"/>
            </w:pPr>
            <w:r>
              <w:rPr>
                <w:rFonts w:ascii="Calibri" w:hAnsi="Calibri"/>
                <w:color w:val="202833"/>
                <w:sz w:val="18"/>
              </w:rPr>
              <w:t>Historically prevented unsolicited token transfers under legacy patterns.</w:t>
            </w:r>
          </w:p>
        </w:tc>
        <w:tc>
          <w:tcPr>
            <w:tcW w:type="dxa" w:w="4040"/>
          </w:tcPr>
          <w:p>
            <w:pPr>
              <w:spacing w:after="0" w:line="252" w:lineRule="auto"/>
              <w:jc w:val="left"/>
            </w:pPr>
            <w:r>
              <w:rPr>
                <w:rFonts w:ascii="Calibri" w:hAnsi="Calibri"/>
                <w:color w:val="202833"/>
                <w:sz w:val="18"/>
              </w:rPr>
              <w:t>Old guidance can be wrong for modern Digital Assets or direct object transfers.</w:t>
            </w:r>
          </w:p>
        </w:tc>
      </w:tr>
      <w:tr>
        <w:trPr>
          <w:cantSplit/>
        </w:trPr>
        <w:tc>
          <w:tcPr>
            <w:tcW w:type="dxa" w:w="1800"/>
            <w:shd w:fill="FBFCFD"/>
          </w:tcPr>
          <w:p>
            <w:pPr>
              <w:spacing w:after="0" w:line="252" w:lineRule="auto"/>
              <w:jc w:val="left"/>
            </w:pPr>
            <w:r>
              <w:rPr>
                <w:rFonts w:ascii="Calibri" w:hAnsi="Calibri"/>
                <w:color w:val="202833"/>
                <w:sz w:val="18"/>
              </w:rPr>
              <w:t>Profile picture</w:t>
            </w:r>
          </w:p>
        </w:tc>
        <w:tc>
          <w:tcPr>
            <w:tcW w:type="dxa" w:w="3520"/>
            <w:shd w:fill="FBFCFD"/>
          </w:tcPr>
          <w:p>
            <w:pPr>
              <w:spacing w:after="0" w:line="252" w:lineRule="auto"/>
              <w:jc w:val="left"/>
            </w:pPr>
            <w:r>
              <w:rPr>
                <w:rFonts w:ascii="Calibri" w:hAnsi="Calibri"/>
                <w:color w:val="202833"/>
                <w:sz w:val="18"/>
              </w:rPr>
              <w:t>Associates an owned NFT with a wallet identity.</w:t>
            </w:r>
          </w:p>
        </w:tc>
        <w:tc>
          <w:tcPr>
            <w:tcW w:type="dxa" w:w="4040"/>
            <w:shd w:fill="FBFCFD"/>
          </w:tcPr>
          <w:p>
            <w:pPr>
              <w:spacing w:after="0" w:line="252" w:lineRule="auto"/>
              <w:jc w:val="left"/>
            </w:pPr>
            <w:r>
              <w:rPr>
                <w:rFonts w:ascii="Calibri" w:hAnsi="Calibri"/>
                <w:color w:val="202833"/>
                <w:sz w:val="18"/>
              </w:rPr>
              <w:t>A signing transaction may be required; ownership changes can invalidate the display.</w:t>
            </w:r>
          </w:p>
        </w:tc>
      </w:tr>
      <w:tr>
        <w:trPr>
          <w:cantSplit/>
        </w:trPr>
        <w:tc>
          <w:tcPr>
            <w:tcW w:type="dxa" w:w="1800"/>
          </w:tcPr>
          <w:p>
            <w:pPr>
              <w:spacing w:after="0" w:line="252" w:lineRule="auto"/>
              <w:jc w:val="left"/>
            </w:pPr>
            <w:r>
              <w:rPr>
                <w:rFonts w:ascii="Calibri" w:hAnsi="Calibri"/>
                <w:color w:val="202833"/>
                <w:sz w:val="18"/>
              </w:rPr>
              <w:t>Collection subscription</w:t>
            </w:r>
          </w:p>
        </w:tc>
        <w:tc>
          <w:tcPr>
            <w:tcW w:type="dxa" w:w="3520"/>
          </w:tcPr>
          <w:p>
            <w:pPr>
              <w:spacing w:after="0" w:line="252" w:lineRule="auto"/>
              <w:jc w:val="left"/>
            </w:pPr>
            <w:r>
              <w:rPr>
                <w:rFonts w:ascii="Calibri" w:hAnsi="Calibri"/>
                <w:color w:val="202833"/>
                <w:sz w:val="18"/>
              </w:rPr>
              <w:t>Provides project/collection updates.</w:t>
            </w:r>
          </w:p>
        </w:tc>
        <w:tc>
          <w:tcPr>
            <w:tcW w:type="dxa" w:w="4040"/>
          </w:tcPr>
          <w:p>
            <w:pPr>
              <w:spacing w:after="0" w:line="252" w:lineRule="auto"/>
              <w:jc w:val="left"/>
            </w:pPr>
            <w:r>
              <w:rPr>
                <w:rFonts w:ascii="Calibri" w:hAnsi="Calibri"/>
                <w:color w:val="202833"/>
                <w:sz w:val="18"/>
              </w:rPr>
              <w:t>Notification content can be spam, phishing, or inaccurate.</w:t>
            </w:r>
          </w:p>
        </w:tc>
      </w:tr>
      <w:tr>
        <w:trPr>
          <w:cantSplit/>
        </w:trPr>
        <w:tc>
          <w:tcPr>
            <w:tcW w:type="dxa" w:w="1800"/>
            <w:shd w:fill="FBFCFD"/>
          </w:tcPr>
          <w:p>
            <w:pPr>
              <w:spacing w:after="0" w:line="252" w:lineRule="auto"/>
              <w:jc w:val="left"/>
            </w:pPr>
            <w:r>
              <w:rPr>
                <w:rFonts w:ascii="Calibri" w:hAnsi="Calibri"/>
                <w:color w:val="202833"/>
                <w:sz w:val="18"/>
              </w:rPr>
              <w:t>Marketplace interaction</w:t>
            </w:r>
          </w:p>
        </w:tc>
        <w:tc>
          <w:tcPr>
            <w:tcW w:type="dxa" w:w="3520"/>
            <w:shd w:fill="FBFCFD"/>
          </w:tcPr>
          <w:p>
            <w:pPr>
              <w:spacing w:after="0" w:line="252" w:lineRule="auto"/>
              <w:jc w:val="left"/>
            </w:pPr>
            <w:r>
              <w:rPr>
                <w:rFonts w:ascii="Calibri" w:hAnsi="Calibri"/>
                <w:color w:val="202833"/>
                <w:sz w:val="18"/>
              </w:rPr>
              <w:t>Lists, bids, buys, or transfers through a dApp.</w:t>
            </w:r>
          </w:p>
        </w:tc>
        <w:tc>
          <w:tcPr>
            <w:tcW w:type="dxa" w:w="4040"/>
            <w:shd w:fill="FBFCFD"/>
          </w:tcPr>
          <w:p>
            <w:pPr>
              <w:spacing w:after="0" w:line="252" w:lineRule="auto"/>
              <w:jc w:val="left"/>
            </w:pPr>
            <w:r>
              <w:rPr>
                <w:rFonts w:ascii="Calibri" w:hAnsi="Calibri"/>
                <w:color w:val="202833"/>
                <w:sz w:val="18"/>
              </w:rPr>
              <w:t>Escrow or object transfer can move the NFT out of the ordinary wallet view.</w:t>
            </w:r>
          </w:p>
        </w:tc>
      </w:tr>
    </w:tbl>
    <w:p>
      <w:pPr>
        <w:widowControl/>
        <w:spacing w:after="0"/>
      </w:pPr>
    </w:p>
    <w:p>
      <w:pPr>
        <w:pStyle w:val="Heading2"/>
        <w:keepNext/>
        <w:widowControl/>
      </w:pPr>
      <w:r>
        <w:t>12.2 Aptos Names</w:t>
      </w:r>
    </w:p>
    <w:p>
      <w:pPr>
        <w:widowControl/>
      </w:pPr>
      <w:r>
        <w:rPr>
          <w:rFonts w:ascii="Calibri" w:hAnsi="Calibri"/>
          <w:color w:val="202833"/>
        </w:rPr>
        <w:t>Rise markets Aptos Names as a safer, human-readable alternative to a long hexadecimal address. Aptos documentation confirms that .apt names can resolve to accounts, but registrations can expire. The wallet should resolve the name immediately before the transaction and show the full resulting address. A familiar name is not a substitute for confirming the recipient. [1][33]</w:t>
      </w:r>
    </w:p>
    <w:p>
      <w:pPr>
        <w:pStyle w:val="Heading2"/>
        <w:keepNext/>
        <w:widowControl/>
      </w:pPr>
      <w:r>
        <w:t>12.3 Notifications and privacy</w:t>
      </w:r>
    </w:p>
    <w:p>
      <w:pPr>
        <w:widowControl/>
      </w:pPr>
      <w:r>
        <w:rPr>
          <w:rFonts w:ascii="Calibri" w:hAnsi="Calibri"/>
          <w:color w:val="202833"/>
        </w:rPr>
        <w:t>Push and browser notifications can alert the user to account activity, dApp updates, or NFT collection events. Delivering them may require notification infrastructure to associate an installation or device token with subscriptions or public addresses. This creates privacy and phishing exposure even though the private key remains local. Never approve a transaction from a notification link without independently reopening the authentic wallet or dApp.</w:t>
      </w:r>
    </w:p>
    <w:p>
      <w:pPr>
        <w:pStyle w:val="Heading1"/>
        <w:keepNext/>
        <w:widowControl/>
      </w:pPr>
      <w:r>
        <w:t>13. Buying APT, fiat on-ramps, and exchange transfers</w:t>
      </w:r>
    </w:p>
    <w:p>
      <w:pPr>
        <w:widowControl/>
      </w:pPr>
      <w:r>
        <w:rPr>
          <w:rFonts w:ascii="Calibri" w:hAnsi="Calibri"/>
          <w:color w:val="202833"/>
        </w:rPr>
        <w:t>Rise's FAQ says APT could be purchased by credit card through Binance Connect. Because that page dates from the product's early period, the reference should be treated as historical and availability-dependent. On-ramps are separate regulated or commercial services with their own supported countries, currencies, fees, KYC, limits, exchange rates, and data collection. [1]</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850"/>
        <w:gridCol w:w="3840"/>
        <w:gridCol w:w="3670"/>
      </w:tblGrid>
      <w:tr>
        <w:trPr>
          <w:tblHeader w:val="true"/>
        </w:trPr>
        <w:tc>
          <w:tcPr>
            <w:tcW w:type="dxa" w:w="1850"/>
            <w:tcMar>
              <w:top w:w="80" w:type="dxa"/>
              <w:start w:w="120" w:type="dxa"/>
              <w:bottom w:w="80" w:type="dxa"/>
              <w:end w:w="120" w:type="dxa"/>
            </w:tcMar>
            <w:vAlign w:val="center"/>
            <w:shd w:fill="F2F4F7"/>
          </w:tcPr>
          <w:p>
            <w:pPr>
              <w:spacing w:after="0"/>
              <w:jc w:val="left"/>
            </w:pPr>
            <w:r>
              <w:rPr>
                <w:rFonts w:ascii="Calibri" w:hAnsi="Calibri"/>
                <w:b/>
                <w:color w:val="17365D"/>
                <w:sz w:val="19"/>
              </w:rPr>
              <w:t>Operation</w:t>
            </w:r>
          </w:p>
        </w:tc>
        <w:tc>
          <w:tcPr>
            <w:tcW w:type="dxa" w:w="3840"/>
            <w:tcMar>
              <w:top w:w="80" w:type="dxa"/>
              <w:start w:w="120" w:type="dxa"/>
              <w:bottom w:w="80" w:type="dxa"/>
              <w:end w:w="120" w:type="dxa"/>
            </w:tcMar>
            <w:vAlign w:val="center"/>
            <w:shd w:fill="F2F4F7"/>
          </w:tcPr>
          <w:p>
            <w:pPr>
              <w:spacing w:after="0"/>
              <w:jc w:val="left"/>
            </w:pPr>
            <w:r>
              <w:rPr>
                <w:rFonts w:ascii="Calibri" w:hAnsi="Calibri"/>
                <w:b/>
                <w:color w:val="17365D"/>
                <w:sz w:val="19"/>
              </w:rPr>
              <w:t>Correct procedure</w:t>
            </w:r>
          </w:p>
        </w:tc>
        <w:tc>
          <w:tcPr>
            <w:tcW w:type="dxa" w:w="3670"/>
            <w:tcMar>
              <w:top w:w="80" w:type="dxa"/>
              <w:start w:w="120" w:type="dxa"/>
              <w:bottom w:w="80" w:type="dxa"/>
              <w:end w:w="120" w:type="dxa"/>
            </w:tcMar>
            <w:vAlign w:val="center"/>
            <w:shd w:fill="F2F4F7"/>
          </w:tcPr>
          <w:p>
            <w:pPr>
              <w:spacing w:after="0"/>
              <w:jc w:val="left"/>
            </w:pPr>
            <w:r>
              <w:rPr>
                <w:rFonts w:ascii="Calibri" w:hAnsi="Calibri"/>
                <w:b/>
                <w:color w:val="17365D"/>
                <w:sz w:val="19"/>
              </w:rPr>
              <w:t>Common loss scenario</w:t>
            </w:r>
          </w:p>
        </w:tc>
      </w:tr>
      <w:tr>
        <w:trPr>
          <w:cantSplit/>
        </w:trPr>
        <w:tc>
          <w:tcPr>
            <w:tcW w:type="dxa" w:w="1850"/>
            <w:shd w:fill="FBFCFD"/>
          </w:tcPr>
          <w:p>
            <w:pPr>
              <w:spacing w:after="0" w:line="252" w:lineRule="auto"/>
              <w:jc w:val="left"/>
            </w:pPr>
            <w:r>
              <w:rPr>
                <w:rFonts w:ascii="Calibri" w:hAnsi="Calibri"/>
                <w:color w:val="202833"/>
                <w:sz w:val="18"/>
              </w:rPr>
              <w:t>Buy APT</w:t>
            </w:r>
          </w:p>
        </w:tc>
        <w:tc>
          <w:tcPr>
            <w:tcW w:type="dxa" w:w="3840"/>
            <w:shd w:fill="FBFCFD"/>
          </w:tcPr>
          <w:p>
            <w:pPr>
              <w:spacing w:after="0" w:line="252" w:lineRule="auto"/>
              <w:jc w:val="left"/>
            </w:pPr>
            <w:r>
              <w:rPr>
                <w:rFonts w:ascii="Calibri" w:hAnsi="Calibri"/>
                <w:color w:val="202833"/>
                <w:sz w:val="18"/>
              </w:rPr>
              <w:t>Confirm current provider, jurisdiction, total fee, network, recipient address, and settlement asset.</w:t>
            </w:r>
          </w:p>
        </w:tc>
        <w:tc>
          <w:tcPr>
            <w:tcW w:type="dxa" w:w="3670"/>
            <w:shd w:fill="FBFCFD"/>
          </w:tcPr>
          <w:p>
            <w:pPr>
              <w:spacing w:after="0" w:line="252" w:lineRule="auto"/>
              <w:jc w:val="left"/>
            </w:pPr>
            <w:r>
              <w:rPr>
                <w:rFonts w:ascii="Calibri" w:hAnsi="Calibri"/>
                <w:color w:val="202833"/>
                <w:sz w:val="18"/>
              </w:rPr>
              <w:t>A discontinued or impersonated on-ramp asks for seed words or sends to the wrong network.</w:t>
            </w:r>
          </w:p>
        </w:tc>
      </w:tr>
      <w:tr>
        <w:trPr>
          <w:cantSplit/>
        </w:trPr>
        <w:tc>
          <w:tcPr>
            <w:tcW w:type="dxa" w:w="1850"/>
          </w:tcPr>
          <w:p>
            <w:pPr>
              <w:spacing w:after="0" w:line="252" w:lineRule="auto"/>
              <w:jc w:val="left"/>
            </w:pPr>
            <w:r>
              <w:rPr>
                <w:rFonts w:ascii="Calibri" w:hAnsi="Calibri"/>
                <w:color w:val="202833"/>
                <w:sz w:val="18"/>
              </w:rPr>
              <w:t>Withdraw from exchange</w:t>
            </w:r>
          </w:p>
        </w:tc>
        <w:tc>
          <w:tcPr>
            <w:tcW w:type="dxa" w:w="3840"/>
          </w:tcPr>
          <w:p>
            <w:pPr>
              <w:spacing w:after="0" w:line="252" w:lineRule="auto"/>
              <w:jc w:val="left"/>
            </w:pPr>
            <w:r>
              <w:rPr>
                <w:rFonts w:ascii="Calibri" w:hAnsi="Calibri"/>
                <w:color w:val="202833"/>
                <w:sz w:val="18"/>
              </w:rPr>
              <w:t>Choose Aptos network and copy the full Rise mainnet address; use the exchange's supported Aptos asset.</w:t>
            </w:r>
          </w:p>
        </w:tc>
        <w:tc>
          <w:tcPr>
            <w:tcW w:type="dxa" w:w="3670"/>
          </w:tcPr>
          <w:p>
            <w:pPr>
              <w:spacing w:after="0" w:line="252" w:lineRule="auto"/>
              <w:jc w:val="left"/>
            </w:pPr>
            <w:r>
              <w:rPr>
                <w:rFonts w:ascii="Calibri" w:hAnsi="Calibri"/>
                <w:color w:val="202833"/>
                <w:sz w:val="18"/>
              </w:rPr>
              <w:t>Selecting Ethereum, BNB Chain, or another withdrawal network because the token symbol matches.</w:t>
            </w:r>
          </w:p>
        </w:tc>
      </w:tr>
      <w:tr>
        <w:trPr>
          <w:cantSplit/>
        </w:trPr>
        <w:tc>
          <w:tcPr>
            <w:tcW w:type="dxa" w:w="1850"/>
            <w:shd w:fill="FBFCFD"/>
          </w:tcPr>
          <w:p>
            <w:pPr>
              <w:spacing w:after="0" w:line="252" w:lineRule="auto"/>
              <w:jc w:val="left"/>
            </w:pPr>
            <w:r>
              <w:rPr>
                <w:rFonts w:ascii="Calibri" w:hAnsi="Calibri"/>
                <w:color w:val="202833"/>
                <w:sz w:val="18"/>
              </w:rPr>
              <w:t>Deposit to exchange</w:t>
            </w:r>
          </w:p>
        </w:tc>
        <w:tc>
          <w:tcPr>
            <w:tcW w:type="dxa" w:w="3840"/>
            <w:shd w:fill="FBFCFD"/>
          </w:tcPr>
          <w:p>
            <w:pPr>
              <w:spacing w:after="0" w:line="252" w:lineRule="auto"/>
              <w:jc w:val="left"/>
            </w:pPr>
            <w:r>
              <w:rPr>
                <w:rFonts w:ascii="Calibri" w:hAnsi="Calibri"/>
                <w:color w:val="202833"/>
                <w:sz w:val="18"/>
              </w:rPr>
              <w:t>Obtain the exact Aptos deposit address and supported asset from the exchange, including memo/tag rules if any.</w:t>
            </w:r>
          </w:p>
        </w:tc>
        <w:tc>
          <w:tcPr>
            <w:tcW w:type="dxa" w:w="3670"/>
            <w:shd w:fill="FBFCFD"/>
          </w:tcPr>
          <w:p>
            <w:pPr>
              <w:spacing w:after="0" w:line="252" w:lineRule="auto"/>
              <w:jc w:val="left"/>
            </w:pPr>
            <w:r>
              <w:rPr>
                <w:rFonts w:ascii="Calibri" w:hAnsi="Calibri"/>
                <w:color w:val="202833"/>
                <w:sz w:val="18"/>
              </w:rPr>
              <w:t>Sending an unsupported Aptos token to an APT deposit address with no recovery path.</w:t>
            </w:r>
          </w:p>
        </w:tc>
      </w:tr>
      <w:tr>
        <w:trPr>
          <w:cantSplit/>
        </w:trPr>
        <w:tc>
          <w:tcPr>
            <w:tcW w:type="dxa" w:w="1850"/>
          </w:tcPr>
          <w:p>
            <w:pPr>
              <w:spacing w:after="0" w:line="252" w:lineRule="auto"/>
              <w:jc w:val="left"/>
            </w:pPr>
            <w:r>
              <w:rPr>
                <w:rFonts w:ascii="Calibri" w:hAnsi="Calibri"/>
                <w:color w:val="202833"/>
                <w:sz w:val="18"/>
              </w:rPr>
              <w:t>Stablecoin transfer</w:t>
            </w:r>
          </w:p>
        </w:tc>
        <w:tc>
          <w:tcPr>
            <w:tcW w:type="dxa" w:w="3840"/>
          </w:tcPr>
          <w:p>
            <w:pPr>
              <w:spacing w:after="0" w:line="252" w:lineRule="auto"/>
              <w:jc w:val="left"/>
            </w:pPr>
            <w:r>
              <w:rPr>
                <w:rFonts w:ascii="Calibri" w:hAnsi="Calibri"/>
                <w:color w:val="202833"/>
                <w:sz w:val="18"/>
              </w:rPr>
              <w:t>Verify native Aptos USDC or USDt identifier and exchange support for that exact representation.</w:t>
            </w:r>
          </w:p>
        </w:tc>
        <w:tc>
          <w:tcPr>
            <w:tcW w:type="dxa" w:w="3670"/>
          </w:tcPr>
          <w:p>
            <w:pPr>
              <w:spacing w:after="0" w:line="252" w:lineRule="auto"/>
              <w:jc w:val="left"/>
            </w:pPr>
            <w:r>
              <w:rPr>
                <w:rFonts w:ascii="Calibri" w:hAnsi="Calibri"/>
                <w:color w:val="202833"/>
                <w:sz w:val="18"/>
              </w:rPr>
              <w:t>Sending lzUSDC or another bridged form to a service that only accepts native USDC. [26]</w:t>
            </w:r>
          </w:p>
        </w:tc>
      </w:tr>
    </w:tbl>
    <w:p>
      <w:pPr>
        <w:widowControl/>
        <w:spacing w:after="0"/>
      </w:pPr>
    </w:p>
    <w:p>
      <w:pPr>
        <w:pStyle w:val="Heading2"/>
        <w:keepNext/>
        <w:widowControl/>
      </w:pPr>
      <w:r>
        <w:t>13.1 Exchange-transfer controls</w:t>
      </w:r>
    </w:p>
    <w:p>
      <w:pPr>
        <w:widowControl/>
        <w:numPr>
          <w:ilvl w:val="0"/>
          <w:numId w:val="10"/>
        </w:numPr>
      </w:pPr>
      <w:r>
        <w:rPr>
          <w:rFonts w:ascii="Calibri" w:hAnsi="Calibri"/>
          <w:b/>
          <w:color w:val="202833"/>
        </w:rPr>
        <w:t xml:space="preserve">Network before address. </w:t>
      </w:r>
      <w:r>
        <w:rPr>
          <w:rFonts w:ascii="Calibri" w:hAnsi="Calibri"/>
          <w:color w:val="202833"/>
        </w:rPr>
        <w:t>An identical symbol across networks does not mean the same ledger or asset.</w:t>
      </w:r>
    </w:p>
    <w:p>
      <w:pPr>
        <w:widowControl/>
        <w:numPr>
          <w:ilvl w:val="0"/>
          <w:numId w:val="10"/>
        </w:numPr>
      </w:pPr>
      <w:r>
        <w:rPr>
          <w:rFonts w:ascii="Calibri" w:hAnsi="Calibri"/>
          <w:b/>
          <w:color w:val="202833"/>
        </w:rPr>
        <w:t xml:space="preserve">Asset before amount. </w:t>
      </w:r>
      <w:r>
        <w:rPr>
          <w:rFonts w:ascii="Calibri" w:hAnsi="Calibri"/>
          <w:color w:val="202833"/>
        </w:rPr>
        <w:t>Confirm the exact Aptos metadata/object address or coin type supported by the exchange.</w:t>
      </w:r>
    </w:p>
    <w:p>
      <w:pPr>
        <w:widowControl/>
        <w:numPr>
          <w:ilvl w:val="0"/>
          <w:numId w:val="10"/>
        </w:numPr>
      </w:pPr>
      <w:r>
        <w:rPr>
          <w:rFonts w:ascii="Calibri" w:hAnsi="Calibri"/>
          <w:b/>
          <w:color w:val="202833"/>
        </w:rPr>
        <w:t xml:space="preserve">Small test. </w:t>
      </w:r>
      <w:r>
        <w:rPr>
          <w:rFonts w:ascii="Calibri" w:hAnsi="Calibri"/>
          <w:color w:val="202833"/>
        </w:rPr>
        <w:t>Send the exchange minimum plus fees, wait for credit, then send the remainder.</w:t>
      </w:r>
    </w:p>
    <w:p>
      <w:pPr>
        <w:widowControl/>
        <w:numPr>
          <w:ilvl w:val="0"/>
          <w:numId w:val="10"/>
        </w:numPr>
      </w:pPr>
      <w:r>
        <w:rPr>
          <w:rFonts w:ascii="Calibri" w:hAnsi="Calibri"/>
          <w:b/>
          <w:color w:val="202833"/>
        </w:rPr>
        <w:t xml:space="preserve">Retain transaction evidence. </w:t>
      </w:r>
      <w:r>
        <w:rPr>
          <w:rFonts w:ascii="Calibri" w:hAnsi="Calibri"/>
          <w:color w:val="202833"/>
        </w:rPr>
        <w:t>Record hash, version, destination, asset, amount, and exchange ticket information.</w:t>
      </w:r>
    </w:p>
    <w:p>
      <w:pPr>
        <w:widowControl/>
        <w:numPr>
          <w:ilvl w:val="0"/>
          <w:numId w:val="10"/>
        </w:numPr>
      </w:pPr>
      <w:r>
        <w:rPr>
          <w:rFonts w:ascii="Calibri" w:hAnsi="Calibri"/>
          <w:b/>
          <w:color w:val="202833"/>
        </w:rPr>
        <w:t xml:space="preserve">Never trust support DMs. </w:t>
      </w:r>
      <w:r>
        <w:rPr>
          <w:rFonts w:ascii="Calibri" w:hAnsi="Calibri"/>
          <w:color w:val="202833"/>
        </w:rPr>
        <w:t>Real support will not ask for the mnemonic to “synchronize,” “validate,” or “recover” a transfer.</w:t>
      </w:r>
    </w:p>
    <w:p>
      <w:pPr>
        <w:pStyle w:val="Heading1"/>
        <w:keepNext/>
        <w:pageBreakBefore/>
        <w:widowControl/>
      </w:pPr>
      <w:r>
        <w:t>14. Backup, recovery, and migration</w:t>
      </w:r>
    </w:p>
    <w:p>
      <w:pPr>
        <w:pStyle w:val="Heading2"/>
        <w:keepNext/>
        <w:widowControl/>
      </w:pPr>
      <w:r>
        <w:t>14.1 What must be backed up</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2350"/>
        <w:gridCol w:w="1700"/>
        <w:gridCol w:w="5310"/>
      </w:tblGrid>
      <w:tr>
        <w:trPr>
          <w:tblHeader w:val="true"/>
        </w:trPr>
        <w:tc>
          <w:tcPr>
            <w:tcW w:type="dxa" w:w="2350"/>
            <w:tcMar>
              <w:top w:w="80" w:type="dxa"/>
              <w:start w:w="120" w:type="dxa"/>
              <w:bottom w:w="80" w:type="dxa"/>
              <w:end w:w="120" w:type="dxa"/>
            </w:tcMar>
            <w:vAlign w:val="center"/>
            <w:shd w:fill="F2F4F7"/>
          </w:tcPr>
          <w:p>
            <w:pPr>
              <w:spacing w:after="0"/>
              <w:jc w:val="left"/>
            </w:pPr>
            <w:r>
              <w:rPr>
                <w:rFonts w:ascii="Calibri" w:hAnsi="Calibri"/>
                <w:b/>
                <w:color w:val="17365D"/>
                <w:sz w:val="19"/>
              </w:rPr>
              <w:t>Item</w:t>
            </w:r>
          </w:p>
        </w:tc>
        <w:tc>
          <w:tcPr>
            <w:tcW w:type="dxa" w:w="1700"/>
            <w:tcMar>
              <w:top w:w="80" w:type="dxa"/>
              <w:start w:w="120" w:type="dxa"/>
              <w:bottom w:w="80" w:type="dxa"/>
              <w:end w:w="120" w:type="dxa"/>
            </w:tcMar>
            <w:vAlign w:val="center"/>
            <w:shd w:fill="F2F4F7"/>
          </w:tcPr>
          <w:p>
            <w:pPr>
              <w:spacing w:after="0"/>
              <w:jc w:val="left"/>
            </w:pPr>
            <w:r>
              <w:rPr>
                <w:rFonts w:ascii="Calibri" w:hAnsi="Calibri"/>
                <w:b/>
                <w:color w:val="17365D"/>
                <w:sz w:val="19"/>
              </w:rPr>
              <w:t>Criticality</w:t>
            </w:r>
          </w:p>
        </w:tc>
        <w:tc>
          <w:tcPr>
            <w:tcW w:type="dxa" w:w="5310"/>
            <w:tcMar>
              <w:top w:w="80" w:type="dxa"/>
              <w:start w:w="120" w:type="dxa"/>
              <w:bottom w:w="80" w:type="dxa"/>
              <w:end w:w="120" w:type="dxa"/>
            </w:tcMar>
            <w:vAlign w:val="center"/>
            <w:shd w:fill="F2F4F7"/>
          </w:tcPr>
          <w:p>
            <w:pPr>
              <w:spacing w:after="0"/>
              <w:jc w:val="left"/>
            </w:pPr>
            <w:r>
              <w:rPr>
                <w:rFonts w:ascii="Calibri" w:hAnsi="Calibri"/>
                <w:b/>
                <w:color w:val="17365D"/>
                <w:sz w:val="19"/>
              </w:rPr>
              <w:t>Purpose</w:t>
            </w:r>
          </w:p>
        </w:tc>
      </w:tr>
      <w:tr>
        <w:trPr>
          <w:cantSplit/>
        </w:trPr>
        <w:tc>
          <w:tcPr>
            <w:tcW w:type="dxa" w:w="2350"/>
            <w:shd w:fill="FBFCFD"/>
          </w:tcPr>
          <w:p>
            <w:pPr>
              <w:spacing w:after="0" w:line="252" w:lineRule="auto"/>
              <w:jc w:val="left"/>
            </w:pPr>
            <w:r>
              <w:rPr>
                <w:rFonts w:ascii="Calibri" w:hAnsi="Calibri"/>
                <w:color w:val="202833"/>
                <w:sz w:val="18"/>
              </w:rPr>
              <w:t>12-word recovery phrase</w:t>
            </w:r>
          </w:p>
        </w:tc>
        <w:tc>
          <w:tcPr>
            <w:tcW w:type="dxa" w:w="1700"/>
            <w:shd w:fill="FBFCFD"/>
          </w:tcPr>
          <w:p>
            <w:pPr>
              <w:spacing w:after="0" w:line="252" w:lineRule="auto"/>
              <w:jc w:val="left"/>
            </w:pPr>
            <w:r>
              <w:rPr>
                <w:rFonts w:ascii="Calibri" w:hAnsi="Calibri"/>
                <w:color w:val="202833"/>
                <w:sz w:val="18"/>
              </w:rPr>
              <w:t>Critical secret</w:t>
            </w:r>
          </w:p>
        </w:tc>
        <w:tc>
          <w:tcPr>
            <w:tcW w:type="dxa" w:w="5310"/>
            <w:shd w:fill="FBFCFD"/>
          </w:tcPr>
          <w:p>
            <w:pPr>
              <w:spacing w:after="0" w:line="252" w:lineRule="auto"/>
              <w:jc w:val="left"/>
            </w:pPr>
            <w:r>
              <w:rPr>
                <w:rFonts w:ascii="Calibri" w:hAnsi="Calibri"/>
                <w:color w:val="202833"/>
                <w:sz w:val="18"/>
              </w:rPr>
              <w:t>Recreates the deterministic key family and derived accounts.</w:t>
            </w:r>
          </w:p>
        </w:tc>
      </w:tr>
      <w:tr>
        <w:trPr>
          <w:cantSplit/>
        </w:trPr>
        <w:tc>
          <w:tcPr>
            <w:tcW w:type="dxa" w:w="2350"/>
          </w:tcPr>
          <w:p>
            <w:pPr>
              <w:spacing w:after="0" w:line="252" w:lineRule="auto"/>
              <w:jc w:val="left"/>
            </w:pPr>
            <w:r>
              <w:rPr>
                <w:rFonts w:ascii="Calibri" w:hAnsi="Calibri"/>
                <w:color w:val="202833"/>
                <w:sz w:val="18"/>
              </w:rPr>
              <w:t>Private keys for separately imported accounts</w:t>
            </w:r>
          </w:p>
        </w:tc>
        <w:tc>
          <w:tcPr>
            <w:tcW w:type="dxa" w:w="1700"/>
          </w:tcPr>
          <w:p>
            <w:pPr>
              <w:spacing w:after="0" w:line="252" w:lineRule="auto"/>
              <w:jc w:val="left"/>
            </w:pPr>
            <w:r>
              <w:rPr>
                <w:rFonts w:ascii="Calibri" w:hAnsi="Calibri"/>
                <w:color w:val="202833"/>
                <w:sz w:val="18"/>
              </w:rPr>
              <w:t>Critical secret</w:t>
            </w:r>
          </w:p>
        </w:tc>
        <w:tc>
          <w:tcPr>
            <w:tcW w:type="dxa" w:w="5310"/>
          </w:tcPr>
          <w:p>
            <w:pPr>
              <w:spacing w:after="0" w:line="252" w:lineRule="auto"/>
              <w:jc w:val="left"/>
            </w:pPr>
            <w:r>
              <w:rPr>
                <w:rFonts w:ascii="Calibri" w:hAnsi="Calibri"/>
                <w:color w:val="202833"/>
                <w:sz w:val="18"/>
              </w:rPr>
              <w:t>Recovers accounts not derived from the main phrase.</w:t>
            </w:r>
          </w:p>
        </w:tc>
      </w:tr>
      <w:tr>
        <w:trPr>
          <w:cantSplit/>
        </w:trPr>
        <w:tc>
          <w:tcPr>
            <w:tcW w:type="dxa" w:w="2350"/>
            <w:shd w:fill="FBFCFD"/>
          </w:tcPr>
          <w:p>
            <w:pPr>
              <w:spacing w:after="0" w:line="252" w:lineRule="auto"/>
              <w:jc w:val="left"/>
            </w:pPr>
            <w:r>
              <w:rPr>
                <w:rFonts w:ascii="Calibri" w:hAnsi="Calibri"/>
                <w:color w:val="202833"/>
                <w:sz w:val="18"/>
              </w:rPr>
              <w:t>Account-address inventory</w:t>
            </w:r>
          </w:p>
        </w:tc>
        <w:tc>
          <w:tcPr>
            <w:tcW w:type="dxa" w:w="1700"/>
            <w:shd w:fill="FBFCFD"/>
          </w:tcPr>
          <w:p>
            <w:pPr>
              <w:spacing w:after="0" w:line="252" w:lineRule="auto"/>
              <w:jc w:val="left"/>
            </w:pPr>
            <w:r>
              <w:rPr>
                <w:rFonts w:ascii="Calibri" w:hAnsi="Calibri"/>
                <w:color w:val="202833"/>
                <w:sz w:val="18"/>
              </w:rPr>
              <w:t>Important public record</w:t>
            </w:r>
          </w:p>
        </w:tc>
        <w:tc>
          <w:tcPr>
            <w:tcW w:type="dxa" w:w="5310"/>
            <w:shd w:fill="FBFCFD"/>
          </w:tcPr>
          <w:p>
            <w:pPr>
              <w:spacing w:after="0" w:line="252" w:lineRule="auto"/>
              <w:jc w:val="left"/>
            </w:pPr>
            <w:r>
              <w:rPr>
                <w:rFonts w:ascii="Calibri" w:hAnsi="Calibri"/>
                <w:color w:val="202833"/>
                <w:sz w:val="18"/>
              </w:rPr>
              <w:t>Proves which addresses and account indexes should be rediscovered.</w:t>
            </w:r>
          </w:p>
        </w:tc>
      </w:tr>
      <w:tr>
        <w:trPr>
          <w:cantSplit/>
        </w:trPr>
        <w:tc>
          <w:tcPr>
            <w:tcW w:type="dxa" w:w="2350"/>
          </w:tcPr>
          <w:p>
            <w:pPr>
              <w:spacing w:after="0" w:line="252" w:lineRule="auto"/>
              <w:jc w:val="left"/>
            </w:pPr>
            <w:r>
              <w:rPr>
                <w:rFonts w:ascii="Calibri" w:hAnsi="Calibri"/>
                <w:color w:val="202833"/>
                <w:sz w:val="18"/>
              </w:rPr>
              <w:t>Derivation path/index notes</w:t>
            </w:r>
          </w:p>
        </w:tc>
        <w:tc>
          <w:tcPr>
            <w:tcW w:type="dxa" w:w="1700"/>
          </w:tcPr>
          <w:p>
            <w:pPr>
              <w:spacing w:after="0" w:line="252" w:lineRule="auto"/>
              <w:jc w:val="left"/>
            </w:pPr>
            <w:r>
              <w:rPr>
                <w:rFonts w:ascii="Calibri" w:hAnsi="Calibri"/>
                <w:color w:val="202833"/>
                <w:sz w:val="18"/>
              </w:rPr>
              <w:t>Important recovery metadata</w:t>
            </w:r>
          </w:p>
        </w:tc>
        <w:tc>
          <w:tcPr>
            <w:tcW w:type="dxa" w:w="5310"/>
          </w:tcPr>
          <w:p>
            <w:pPr>
              <w:spacing w:after="0" w:line="252" w:lineRule="auto"/>
              <w:jc w:val="left"/>
            </w:pPr>
            <w:r>
              <w:rPr>
                <w:rFonts w:ascii="Calibri" w:hAnsi="Calibri"/>
                <w:color w:val="202833"/>
                <w:sz w:val="18"/>
              </w:rPr>
              <w:t>Prevents “missing account” problems across wallets.</w:t>
            </w:r>
          </w:p>
        </w:tc>
      </w:tr>
      <w:tr>
        <w:trPr>
          <w:cantSplit/>
        </w:trPr>
        <w:tc>
          <w:tcPr>
            <w:tcW w:type="dxa" w:w="2350"/>
            <w:shd w:fill="FBFCFD"/>
          </w:tcPr>
          <w:p>
            <w:pPr>
              <w:spacing w:after="0" w:line="252" w:lineRule="auto"/>
              <w:jc w:val="left"/>
            </w:pPr>
            <w:r>
              <w:rPr>
                <w:rFonts w:ascii="Calibri" w:hAnsi="Calibri"/>
                <w:color w:val="202833"/>
                <w:sz w:val="18"/>
              </w:rPr>
              <w:t>Key-rotation record</w:t>
            </w:r>
          </w:p>
        </w:tc>
        <w:tc>
          <w:tcPr>
            <w:tcW w:type="dxa" w:w="1700"/>
            <w:shd w:fill="FBFCFD"/>
          </w:tcPr>
          <w:p>
            <w:pPr>
              <w:spacing w:after="0" w:line="252" w:lineRule="auto"/>
              <w:jc w:val="left"/>
            </w:pPr>
            <w:r>
              <w:rPr>
                <w:rFonts w:ascii="Calibri" w:hAnsi="Calibri"/>
                <w:color w:val="202833"/>
                <w:sz w:val="18"/>
              </w:rPr>
              <w:t>Critical if used</w:t>
            </w:r>
          </w:p>
        </w:tc>
        <w:tc>
          <w:tcPr>
            <w:tcW w:type="dxa" w:w="5310"/>
            <w:shd w:fill="FBFCFD"/>
          </w:tcPr>
          <w:p>
            <w:pPr>
              <w:spacing w:after="0" w:line="252" w:lineRule="auto"/>
              <w:jc w:val="left"/>
            </w:pPr>
            <w:r>
              <w:rPr>
                <w:rFonts w:ascii="Calibri" w:hAnsi="Calibri"/>
                <w:color w:val="202833"/>
                <w:sz w:val="18"/>
              </w:rPr>
              <w:t>Identifies whether the original mnemonic still controls the permanent address.</w:t>
            </w:r>
          </w:p>
        </w:tc>
      </w:tr>
      <w:tr>
        <w:trPr>
          <w:cantSplit/>
        </w:trPr>
        <w:tc>
          <w:tcPr>
            <w:tcW w:type="dxa" w:w="2350"/>
          </w:tcPr>
          <w:p>
            <w:pPr>
              <w:spacing w:after="0" w:line="252" w:lineRule="auto"/>
              <w:jc w:val="left"/>
            </w:pPr>
            <w:r>
              <w:rPr>
                <w:rFonts w:ascii="Calibri" w:hAnsi="Calibri"/>
                <w:color w:val="202833"/>
                <w:sz w:val="18"/>
              </w:rPr>
              <w:t>Transaction and protocol records</w:t>
            </w:r>
          </w:p>
        </w:tc>
        <w:tc>
          <w:tcPr>
            <w:tcW w:type="dxa" w:w="1700"/>
          </w:tcPr>
          <w:p>
            <w:pPr>
              <w:spacing w:after="0" w:line="252" w:lineRule="auto"/>
              <w:jc w:val="left"/>
            </w:pPr>
            <w:r>
              <w:rPr>
                <w:rFonts w:ascii="Calibri" w:hAnsi="Calibri"/>
                <w:color w:val="202833"/>
                <w:sz w:val="18"/>
              </w:rPr>
              <w:t>Operational</w:t>
            </w:r>
          </w:p>
        </w:tc>
        <w:tc>
          <w:tcPr>
            <w:tcW w:type="dxa" w:w="5310"/>
          </w:tcPr>
          <w:p>
            <w:pPr>
              <w:spacing w:after="0" w:line="252" w:lineRule="auto"/>
              <w:jc w:val="left"/>
            </w:pPr>
            <w:r>
              <w:rPr>
                <w:rFonts w:ascii="Calibri" w:hAnsi="Calibri"/>
                <w:color w:val="202833"/>
                <w:sz w:val="18"/>
              </w:rPr>
              <w:t>Supports reconciliation of staking, DeFi, NFTs, and exchange transfers.</w:t>
            </w:r>
          </w:p>
        </w:tc>
      </w:tr>
      <w:tr>
        <w:trPr>
          <w:cantSplit/>
        </w:trPr>
        <w:tc>
          <w:tcPr>
            <w:tcW w:type="dxa" w:w="2350"/>
            <w:shd w:fill="FBFCFD"/>
          </w:tcPr>
          <w:p>
            <w:pPr>
              <w:spacing w:after="0" w:line="252" w:lineRule="auto"/>
              <w:jc w:val="left"/>
            </w:pPr>
            <w:r>
              <w:rPr>
                <w:rFonts w:ascii="Calibri" w:hAnsi="Calibri"/>
                <w:color w:val="202833"/>
                <w:sz w:val="18"/>
              </w:rPr>
              <w:t>App password</w:t>
            </w:r>
          </w:p>
        </w:tc>
        <w:tc>
          <w:tcPr>
            <w:tcW w:type="dxa" w:w="1700"/>
            <w:shd w:fill="FBFCFD"/>
          </w:tcPr>
          <w:p>
            <w:pPr>
              <w:spacing w:after="0" w:line="252" w:lineRule="auto"/>
              <w:jc w:val="left"/>
            </w:pPr>
            <w:r>
              <w:rPr>
                <w:rFonts w:ascii="Calibri" w:hAnsi="Calibri"/>
                <w:color w:val="202833"/>
                <w:sz w:val="18"/>
              </w:rPr>
              <w:t>Convenience/local access</w:t>
            </w:r>
          </w:p>
        </w:tc>
        <w:tc>
          <w:tcPr>
            <w:tcW w:type="dxa" w:w="5310"/>
            <w:shd w:fill="FBFCFD"/>
          </w:tcPr>
          <w:p>
            <w:pPr>
              <w:spacing w:after="0" w:line="252" w:lineRule="auto"/>
              <w:jc w:val="left"/>
            </w:pPr>
            <w:r>
              <w:rPr>
                <w:rFonts w:ascii="Calibri" w:hAnsi="Calibri"/>
                <w:color w:val="202833"/>
                <w:sz w:val="18"/>
              </w:rPr>
              <w:t>Unlocks the current encrypted installation but is not a blockchain recovery secret.</w:t>
            </w:r>
          </w:p>
        </w:tc>
      </w:tr>
    </w:tbl>
    <w:p>
      <w:pPr>
        <w:widowControl/>
        <w:spacing w:after="0"/>
      </w:pPr>
    </w:p>
    <w:p>
      <w:pPr>
        <w:pStyle w:val="Heading2"/>
        <w:keepNext/>
        <w:widowControl/>
      </w:pPr>
      <w:r>
        <w:t>14.2 Recovery test</w:t>
      </w:r>
    </w:p>
    <w:p>
      <w:pPr>
        <w:widowControl/>
        <w:numPr>
          <w:ilvl w:val="0"/>
          <w:numId w:val="15"/>
        </w:numPr>
      </w:pPr>
      <w:r>
        <w:rPr>
          <w:rFonts w:ascii="Calibri" w:hAnsi="Calibri"/>
          <w:b/>
          <w:color w:val="202833"/>
        </w:rPr>
        <w:t xml:space="preserve">Create a low-value test wallet. </w:t>
      </w:r>
      <w:r>
        <w:rPr>
          <w:rFonts w:ascii="Calibri" w:hAnsi="Calibri"/>
          <w:color w:val="202833"/>
        </w:rPr>
        <w:t>Do not begin by exposing a high-value production phrase.</w:t>
      </w:r>
    </w:p>
    <w:p>
      <w:pPr>
        <w:widowControl/>
        <w:numPr>
          <w:ilvl w:val="0"/>
          <w:numId w:val="15"/>
        </w:numPr>
      </w:pPr>
      <w:r>
        <w:rPr>
          <w:rFonts w:ascii="Calibri" w:hAnsi="Calibri"/>
          <w:b/>
          <w:color w:val="202833"/>
        </w:rPr>
        <w:t xml:space="preserve">Record the expected addresses. </w:t>
      </w:r>
      <w:r>
        <w:rPr>
          <w:rFonts w:ascii="Calibri" w:hAnsi="Calibri"/>
          <w:color w:val="202833"/>
        </w:rPr>
        <w:t>Include the first account and every additional address derived in Rise.</w:t>
      </w:r>
    </w:p>
    <w:p>
      <w:pPr>
        <w:widowControl/>
        <w:numPr>
          <w:ilvl w:val="0"/>
          <w:numId w:val="15"/>
        </w:numPr>
      </w:pPr>
      <w:r>
        <w:rPr>
          <w:rFonts w:ascii="Calibri" w:hAnsi="Calibri"/>
          <w:b/>
          <w:color w:val="202833"/>
        </w:rPr>
        <w:t xml:space="preserve">Restore in an authentic maintained Aptos wallet. </w:t>
      </w:r>
      <w:r>
        <w:rPr>
          <w:rFonts w:ascii="Calibri" w:hAnsi="Calibri"/>
          <w:color w:val="202833"/>
        </w:rPr>
        <w:t>Use a separate clean device or controlled profile and the appropriate derivation scheme.</w:t>
      </w:r>
    </w:p>
    <w:p>
      <w:pPr>
        <w:widowControl/>
        <w:numPr>
          <w:ilvl w:val="0"/>
          <w:numId w:val="15"/>
        </w:numPr>
      </w:pPr>
      <w:r>
        <w:rPr>
          <w:rFonts w:ascii="Calibri" w:hAnsi="Calibri"/>
          <w:b/>
          <w:color w:val="202833"/>
        </w:rPr>
        <w:t xml:space="preserve">Compare full addresses. </w:t>
      </w:r>
      <w:r>
        <w:rPr>
          <w:rFonts w:ascii="Calibri" w:hAnsi="Calibri"/>
          <w:color w:val="202833"/>
        </w:rPr>
        <w:t>A successful import is defined by matching addresses, not merely accepting the words.</w:t>
      </w:r>
    </w:p>
    <w:p>
      <w:pPr>
        <w:widowControl/>
        <w:numPr>
          <w:ilvl w:val="0"/>
          <w:numId w:val="15"/>
        </w:numPr>
      </w:pPr>
      <w:r>
        <w:rPr>
          <w:rFonts w:ascii="Calibri" w:hAnsi="Calibri"/>
          <w:b/>
          <w:color w:val="202833"/>
        </w:rPr>
        <w:t xml:space="preserve">Check current authentication. </w:t>
      </w:r>
      <w:r>
        <w:rPr>
          <w:rFonts w:ascii="Calibri" w:hAnsi="Calibri"/>
          <w:color w:val="202833"/>
        </w:rPr>
        <w:t>If an address was key-rotated, confirm which key now signs successfully.</w:t>
      </w:r>
    </w:p>
    <w:p>
      <w:pPr>
        <w:widowControl/>
        <w:numPr>
          <w:ilvl w:val="0"/>
          <w:numId w:val="15"/>
        </w:numPr>
      </w:pPr>
      <w:r>
        <w:rPr>
          <w:rFonts w:ascii="Calibri" w:hAnsi="Calibri"/>
          <w:b/>
          <w:color w:val="202833"/>
        </w:rPr>
        <w:t xml:space="preserve">Verify every asset class. </w:t>
      </w:r>
      <w:r>
        <w:rPr>
          <w:rFonts w:ascii="Calibri" w:hAnsi="Calibri"/>
          <w:color w:val="202833"/>
        </w:rPr>
        <w:t>Inspect APT, current FAs, legacy/paired balances, Digital Assets, staking positions, and dApp-owned objects.</w:t>
      </w:r>
    </w:p>
    <w:p>
      <w:pPr>
        <w:widowControl/>
        <w:numPr>
          <w:ilvl w:val="0"/>
          <w:numId w:val="15"/>
        </w:numPr>
      </w:pPr>
      <w:r>
        <w:rPr>
          <w:rFonts w:ascii="Calibri" w:hAnsi="Calibri"/>
          <w:b/>
          <w:color w:val="202833"/>
        </w:rPr>
        <w:t xml:space="preserve">Perform a tiny signed transfer. </w:t>
      </w:r>
      <w:r>
        <w:rPr>
          <w:rFonts w:ascii="Calibri" w:hAnsi="Calibri"/>
          <w:color w:val="202833"/>
        </w:rPr>
        <w:t>Prove outbound authority and current transaction compatibility.</w:t>
      </w:r>
    </w:p>
    <w:p>
      <w:pPr>
        <w:widowControl/>
        <w:numPr>
          <w:ilvl w:val="0"/>
          <w:numId w:val="15"/>
        </w:numPr>
      </w:pPr>
      <w:r>
        <w:rPr>
          <w:rFonts w:ascii="Calibri" w:hAnsi="Calibri"/>
          <w:b/>
          <w:color w:val="202833"/>
        </w:rPr>
        <w:t xml:space="preserve">Destroy temporary secrets safely. </w:t>
      </w:r>
      <w:r>
        <w:rPr>
          <w:rFonts w:ascii="Calibri" w:hAnsi="Calibri"/>
          <w:color w:val="202833"/>
        </w:rPr>
        <w:t>Remove test imports from devices that will not remain trusted.</w:t>
      </w:r>
    </w:p>
    <w:p>
      <w:pPr>
        <w:pStyle w:val="Heading2"/>
        <w:keepNext/>
        <w:widowControl/>
      </w:pPr>
      <w:r>
        <w:t>14.3 Migration from Rise to another Aptos wallet</w:t>
      </w:r>
    </w:p>
    <w:p>
      <w:pPr>
        <w:widowControl/>
      </w:pPr>
      <w:r>
        <w:rPr>
          <w:rFonts w:ascii="Calibri" w:hAnsi="Calibri"/>
          <w:color w:val="202833"/>
        </w:rPr>
        <w:t>Migration can mean importing the same seed into another client or moving assets to a freshly generated account. Importing preserves the same private-key exposure history and can be complicated by derivation and key rotation. Moving to a new account provides clean separation but requires transfers for every fungible asset, Digital Asset, staking position, protocol receipt, and object-controlled right. A watch-only comparison should be used before importing secrets.</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2150"/>
        <w:gridCol w:w="3440"/>
        <w:gridCol w:w="3770"/>
      </w:tblGrid>
      <w:tr>
        <w:trPr>
          <w:tblHeader w:val="true"/>
        </w:trPr>
        <w:tc>
          <w:tcPr>
            <w:tcW w:type="dxa" w:w="2150"/>
            <w:tcMar>
              <w:top w:w="80" w:type="dxa"/>
              <w:start w:w="120" w:type="dxa"/>
              <w:bottom w:w="80" w:type="dxa"/>
              <w:end w:w="120" w:type="dxa"/>
            </w:tcMar>
            <w:vAlign w:val="center"/>
            <w:shd w:fill="F2F4F7"/>
          </w:tcPr>
          <w:p>
            <w:pPr>
              <w:spacing w:after="0"/>
              <w:jc w:val="left"/>
            </w:pPr>
            <w:r>
              <w:rPr>
                <w:rFonts w:ascii="Calibri" w:hAnsi="Calibri"/>
                <w:b/>
                <w:color w:val="17365D"/>
                <w:sz w:val="19"/>
              </w:rPr>
              <w:t>Approach</w:t>
            </w:r>
          </w:p>
        </w:tc>
        <w:tc>
          <w:tcPr>
            <w:tcW w:type="dxa" w:w="3440"/>
            <w:tcMar>
              <w:top w:w="80" w:type="dxa"/>
              <w:start w:w="120" w:type="dxa"/>
              <w:bottom w:w="80" w:type="dxa"/>
              <w:end w:w="120" w:type="dxa"/>
            </w:tcMar>
            <w:vAlign w:val="center"/>
            <w:shd w:fill="F2F4F7"/>
          </w:tcPr>
          <w:p>
            <w:pPr>
              <w:spacing w:after="0"/>
              <w:jc w:val="left"/>
            </w:pPr>
            <w:r>
              <w:rPr>
                <w:rFonts w:ascii="Calibri" w:hAnsi="Calibri"/>
                <w:b/>
                <w:color w:val="17365D"/>
                <w:sz w:val="19"/>
              </w:rPr>
              <w:t>Advantage</w:t>
            </w:r>
          </w:p>
        </w:tc>
        <w:tc>
          <w:tcPr>
            <w:tcW w:type="dxa" w:w="3770"/>
            <w:tcMar>
              <w:top w:w="80" w:type="dxa"/>
              <w:start w:w="120" w:type="dxa"/>
              <w:bottom w:w="80" w:type="dxa"/>
              <w:end w:w="120" w:type="dxa"/>
            </w:tcMar>
            <w:vAlign w:val="center"/>
            <w:shd w:fill="F2F4F7"/>
          </w:tcPr>
          <w:p>
            <w:pPr>
              <w:spacing w:after="0"/>
              <w:jc w:val="left"/>
            </w:pPr>
            <w:r>
              <w:rPr>
                <w:rFonts w:ascii="Calibri" w:hAnsi="Calibri"/>
                <w:b/>
                <w:color w:val="17365D"/>
                <w:sz w:val="19"/>
              </w:rPr>
              <w:t>Trade-off</w:t>
            </w:r>
          </w:p>
        </w:tc>
      </w:tr>
      <w:tr>
        <w:trPr>
          <w:cantSplit/>
        </w:trPr>
        <w:tc>
          <w:tcPr>
            <w:tcW w:type="dxa" w:w="2150"/>
            <w:shd w:fill="FBFCFD"/>
          </w:tcPr>
          <w:p>
            <w:pPr>
              <w:spacing w:after="0" w:line="252" w:lineRule="auto"/>
              <w:jc w:val="left"/>
            </w:pPr>
            <w:r>
              <w:rPr>
                <w:rFonts w:ascii="Calibri" w:hAnsi="Calibri"/>
                <w:color w:val="202833"/>
                <w:sz w:val="18"/>
              </w:rPr>
              <w:t>Import existing mnemonic</w:t>
            </w:r>
          </w:p>
        </w:tc>
        <w:tc>
          <w:tcPr>
            <w:tcW w:type="dxa" w:w="3440"/>
            <w:shd w:fill="FBFCFD"/>
          </w:tcPr>
          <w:p>
            <w:pPr>
              <w:spacing w:after="0" w:line="252" w:lineRule="auto"/>
              <w:jc w:val="left"/>
            </w:pPr>
            <w:r>
              <w:rPr>
                <w:rFonts w:ascii="Calibri" w:hAnsi="Calibri"/>
                <w:color w:val="202833"/>
                <w:sz w:val="18"/>
              </w:rPr>
              <w:t>Fast; preserves addresses and most dApp relationships.</w:t>
            </w:r>
          </w:p>
        </w:tc>
        <w:tc>
          <w:tcPr>
            <w:tcW w:type="dxa" w:w="3770"/>
            <w:shd w:fill="FBFCFD"/>
          </w:tcPr>
          <w:p>
            <w:pPr>
              <w:spacing w:after="0" w:line="252" w:lineRule="auto"/>
              <w:jc w:val="left"/>
            </w:pPr>
            <w:r>
              <w:rPr>
                <w:rFonts w:ascii="Calibri" w:hAnsi="Calibri"/>
                <w:color w:val="202833"/>
                <w:sz w:val="18"/>
              </w:rPr>
              <w:t>Old seed may already be exposed; derivation and rotation compatibility can fail.</w:t>
            </w:r>
          </w:p>
        </w:tc>
      </w:tr>
      <w:tr>
        <w:trPr>
          <w:cantSplit/>
        </w:trPr>
        <w:tc>
          <w:tcPr>
            <w:tcW w:type="dxa" w:w="2150"/>
          </w:tcPr>
          <w:p>
            <w:pPr>
              <w:spacing w:after="0" w:line="252" w:lineRule="auto"/>
              <w:jc w:val="left"/>
            </w:pPr>
            <w:r>
              <w:rPr>
                <w:rFonts w:ascii="Calibri" w:hAnsi="Calibri"/>
                <w:color w:val="202833"/>
                <w:sz w:val="18"/>
              </w:rPr>
              <w:t>Import individual private key</w:t>
            </w:r>
          </w:p>
        </w:tc>
        <w:tc>
          <w:tcPr>
            <w:tcW w:type="dxa" w:w="3440"/>
          </w:tcPr>
          <w:p>
            <w:pPr>
              <w:spacing w:after="0" w:line="252" w:lineRule="auto"/>
              <w:jc w:val="left"/>
            </w:pPr>
            <w:r>
              <w:rPr>
                <w:rFonts w:ascii="Calibri" w:hAnsi="Calibri"/>
                <w:color w:val="202833"/>
                <w:sz w:val="18"/>
              </w:rPr>
              <w:t>Targets one account directly.</w:t>
            </w:r>
          </w:p>
        </w:tc>
        <w:tc>
          <w:tcPr>
            <w:tcW w:type="dxa" w:w="3770"/>
          </w:tcPr>
          <w:p>
            <w:pPr>
              <w:spacing w:after="0" w:line="252" w:lineRule="auto"/>
              <w:jc w:val="left"/>
            </w:pPr>
            <w:r>
              <w:rPr>
                <w:rFonts w:ascii="Calibri" w:hAnsi="Calibri"/>
                <w:color w:val="202833"/>
                <w:sz w:val="18"/>
              </w:rPr>
              <w:t>Does not recreate other derived addresses and may not capture a rotated account correctly.</w:t>
            </w:r>
          </w:p>
        </w:tc>
      </w:tr>
      <w:tr>
        <w:trPr>
          <w:cantSplit/>
        </w:trPr>
        <w:tc>
          <w:tcPr>
            <w:tcW w:type="dxa" w:w="2150"/>
            <w:shd w:fill="FBFCFD"/>
          </w:tcPr>
          <w:p>
            <w:pPr>
              <w:spacing w:after="0" w:line="252" w:lineRule="auto"/>
              <w:jc w:val="left"/>
            </w:pPr>
            <w:r>
              <w:rPr>
                <w:rFonts w:ascii="Calibri" w:hAnsi="Calibri"/>
                <w:color w:val="202833"/>
                <w:sz w:val="18"/>
              </w:rPr>
              <w:t>Create new wallet and transfer</w:t>
            </w:r>
          </w:p>
        </w:tc>
        <w:tc>
          <w:tcPr>
            <w:tcW w:type="dxa" w:w="3440"/>
            <w:shd w:fill="FBFCFD"/>
          </w:tcPr>
          <w:p>
            <w:pPr>
              <w:spacing w:after="0" w:line="252" w:lineRule="auto"/>
              <w:jc w:val="left"/>
            </w:pPr>
            <w:r>
              <w:rPr>
                <w:rFonts w:ascii="Calibri" w:hAnsi="Calibri"/>
                <w:color w:val="202833"/>
                <w:sz w:val="18"/>
              </w:rPr>
              <w:t>New secret and clearer security boundary.</w:t>
            </w:r>
          </w:p>
        </w:tc>
        <w:tc>
          <w:tcPr>
            <w:tcW w:type="dxa" w:w="3770"/>
            <w:shd w:fill="FBFCFD"/>
          </w:tcPr>
          <w:p>
            <w:pPr>
              <w:spacing w:after="0" w:line="252" w:lineRule="auto"/>
              <w:jc w:val="left"/>
            </w:pPr>
            <w:r>
              <w:rPr>
                <w:rFonts w:ascii="Calibri" w:hAnsi="Calibri"/>
                <w:color w:val="202833"/>
                <w:sz w:val="18"/>
              </w:rPr>
              <w:t>Requires gas, careful asset-by-asset movement, staking exits, and dApp reconfiguration.</w:t>
            </w:r>
          </w:p>
        </w:tc>
      </w:tr>
      <w:tr>
        <w:trPr>
          <w:cantSplit/>
        </w:trPr>
        <w:tc>
          <w:tcPr>
            <w:tcW w:type="dxa" w:w="2150"/>
          </w:tcPr>
          <w:p>
            <w:pPr>
              <w:spacing w:after="0" w:line="252" w:lineRule="auto"/>
              <w:jc w:val="left"/>
            </w:pPr>
            <w:r>
              <w:rPr>
                <w:rFonts w:ascii="Calibri" w:hAnsi="Calibri"/>
                <w:color w:val="202833"/>
                <w:sz w:val="18"/>
              </w:rPr>
              <w:t>Watch-only first</w:t>
            </w:r>
          </w:p>
        </w:tc>
        <w:tc>
          <w:tcPr>
            <w:tcW w:type="dxa" w:w="3440"/>
          </w:tcPr>
          <w:p>
            <w:pPr>
              <w:spacing w:after="0" w:line="252" w:lineRule="auto"/>
              <w:jc w:val="left"/>
            </w:pPr>
            <w:r>
              <w:rPr>
                <w:rFonts w:ascii="Calibri" w:hAnsi="Calibri"/>
                <w:color w:val="202833"/>
                <w:sz w:val="18"/>
              </w:rPr>
              <w:t>Compares balances and current indexing without revealing a secret.</w:t>
            </w:r>
          </w:p>
        </w:tc>
        <w:tc>
          <w:tcPr>
            <w:tcW w:type="dxa" w:w="3770"/>
          </w:tcPr>
          <w:p>
            <w:pPr>
              <w:spacing w:after="0" w:line="252" w:lineRule="auto"/>
              <w:jc w:val="left"/>
            </w:pPr>
            <w:r>
              <w:rPr>
                <w:rFonts w:ascii="Calibri" w:hAnsi="Calibri"/>
                <w:color w:val="202833"/>
                <w:sz w:val="18"/>
              </w:rPr>
              <w:t>Cannot prove signing or transaction construction.</w:t>
            </w:r>
          </w:p>
        </w:tc>
      </w:tr>
    </w:tbl>
    <w:p>
      <w:pPr>
        <w:widowControl/>
        <w:spacing w:after="0"/>
      </w:pPr>
    </w:p>
    <w:p>
      <w:pPr>
        <w:pStyle w:val="Heading1"/>
        <w:keepNext/>
        <w:widowControl/>
      </w:pPr>
      <w:r>
        <w:t>15. Security architecture and threat model</w:t>
      </w:r>
    </w:p>
    <w:p>
      <w:pPr>
        <w:pStyle w:val="Heading2"/>
        <w:keepNext/>
        <w:widowControl/>
      </w:pPr>
      <w:r>
        <w:t>15.1 Security controls Rise advertises or implies</w:t>
      </w:r>
    </w:p>
    <w:p>
      <w:pPr>
        <w:widowControl/>
        <w:numPr>
          <w:ilvl w:val="0"/>
          <w:numId w:val="10"/>
        </w:numPr>
      </w:pPr>
      <w:r>
        <w:rPr>
          <w:rFonts w:ascii="Calibri" w:hAnsi="Calibri"/>
          <w:b/>
          <w:color w:val="202833"/>
        </w:rPr>
        <w:t xml:space="preserve">Self-custody. </w:t>
      </w:r>
      <w:r>
        <w:rPr>
          <w:rFonts w:ascii="Calibri" w:hAnsi="Calibri"/>
          <w:color w:val="202833"/>
        </w:rPr>
        <w:t>The provider does not centrally control user transaction authority. [1][3]</w:t>
      </w:r>
    </w:p>
    <w:p>
      <w:pPr>
        <w:widowControl/>
        <w:numPr>
          <w:ilvl w:val="0"/>
          <w:numId w:val="10"/>
        </w:numPr>
      </w:pPr>
      <w:r>
        <w:rPr>
          <w:rFonts w:ascii="Calibri" w:hAnsi="Calibri"/>
          <w:b/>
          <w:color w:val="202833"/>
        </w:rPr>
        <w:t xml:space="preserve">Encrypted local access. </w:t>
      </w:r>
      <w:r>
        <w:rPr>
          <w:rFonts w:ascii="Calibri" w:hAnsi="Calibri"/>
          <w:color w:val="202833"/>
        </w:rPr>
        <w:t>A password and device controls protect the installed wallet, although the public sources do not provide a current cryptographic storage specification.</w:t>
      </w:r>
    </w:p>
    <w:p>
      <w:pPr>
        <w:widowControl/>
        <w:numPr>
          <w:ilvl w:val="0"/>
          <w:numId w:val="10"/>
        </w:numPr>
      </w:pPr>
      <w:r>
        <w:rPr>
          <w:rFonts w:ascii="Calibri" w:hAnsi="Calibri"/>
          <w:b/>
          <w:color w:val="202833"/>
        </w:rPr>
        <w:t xml:space="preserve">Transaction simulation. </w:t>
      </w:r>
      <w:r>
        <w:rPr>
          <w:rFonts w:ascii="Calibri" w:hAnsi="Calibri"/>
          <w:color w:val="202833"/>
        </w:rPr>
        <w:t>Expected balance changes can reveal some malicious or mistaken calls. [1][17]</w:t>
      </w:r>
    </w:p>
    <w:p>
      <w:pPr>
        <w:widowControl/>
        <w:numPr>
          <w:ilvl w:val="0"/>
          <w:numId w:val="10"/>
        </w:numPr>
      </w:pPr>
      <w:r>
        <w:rPr>
          <w:rFonts w:ascii="Calibri" w:hAnsi="Calibri"/>
          <w:b/>
          <w:color w:val="202833"/>
        </w:rPr>
        <w:t xml:space="preserve">Readable activity. </w:t>
      </w:r>
      <w:r>
        <w:rPr>
          <w:rFonts w:ascii="Calibri" w:hAnsi="Calibri"/>
          <w:color w:val="202833"/>
        </w:rPr>
        <w:t>Human-friendly classification may make anomalies easier to notice. [10][11]</w:t>
      </w:r>
    </w:p>
    <w:p>
      <w:pPr>
        <w:widowControl/>
        <w:numPr>
          <w:ilvl w:val="0"/>
          <w:numId w:val="10"/>
        </w:numPr>
      </w:pPr>
      <w:r>
        <w:rPr>
          <w:rFonts w:ascii="Calibri" w:hAnsi="Calibri"/>
          <w:b/>
          <w:color w:val="202833"/>
        </w:rPr>
        <w:t xml:space="preserve">Domain approval. </w:t>
      </w:r>
      <w:r>
        <w:rPr>
          <w:rFonts w:ascii="Calibri" w:hAnsi="Calibri"/>
          <w:color w:val="202833"/>
        </w:rPr>
        <w:t>The documented connection prompt asks before sharing the account and whitelists a domain. [6]</w:t>
      </w:r>
    </w:p>
    <w:p>
      <w:pPr>
        <w:widowControl/>
        <w:numPr>
          <w:ilvl w:val="0"/>
          <w:numId w:val="10"/>
        </w:numPr>
      </w:pPr>
      <w:r>
        <w:rPr>
          <w:rFonts w:ascii="Calibri" w:hAnsi="Calibri"/>
          <w:b/>
          <w:color w:val="202833"/>
        </w:rPr>
        <w:t xml:space="preserve">Store distribution. </w:t>
      </w:r>
      <w:r>
        <w:rPr>
          <w:rFonts w:ascii="Calibri" w:hAnsi="Calibri"/>
          <w:color w:val="202833"/>
        </w:rPr>
        <w:t>Official app and extension stores add publisher, signing, review, and update mechanisms, but are not a guarantee of security.</w:t>
      </w:r>
    </w:p>
    <w:p>
      <w:pPr>
        <w:pStyle w:val="Heading2"/>
        <w:keepNext/>
        <w:widowControl/>
      </w:pPr>
      <w:r>
        <w:t>15.2 Threat matrix</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800"/>
        <w:gridCol w:w="3490"/>
        <w:gridCol w:w="4070"/>
      </w:tblGrid>
      <w:tr>
        <w:trPr>
          <w:tblHeader w:val="true"/>
        </w:trPr>
        <w:tc>
          <w:tcPr>
            <w:tcW w:type="dxa" w:w="1800"/>
            <w:tcMar>
              <w:top w:w="80" w:type="dxa"/>
              <w:start w:w="120" w:type="dxa"/>
              <w:bottom w:w="80" w:type="dxa"/>
              <w:end w:w="120" w:type="dxa"/>
            </w:tcMar>
            <w:vAlign w:val="center"/>
            <w:shd w:fill="F2F4F7"/>
          </w:tcPr>
          <w:p>
            <w:pPr>
              <w:spacing w:after="0"/>
              <w:jc w:val="left"/>
            </w:pPr>
            <w:r>
              <w:rPr>
                <w:rFonts w:ascii="Calibri" w:hAnsi="Calibri"/>
                <w:b/>
                <w:color w:val="17365D"/>
                <w:sz w:val="19"/>
              </w:rPr>
              <w:t>Threat</w:t>
            </w:r>
          </w:p>
        </w:tc>
        <w:tc>
          <w:tcPr>
            <w:tcW w:type="dxa" w:w="3490"/>
            <w:tcMar>
              <w:top w:w="80" w:type="dxa"/>
              <w:start w:w="120" w:type="dxa"/>
              <w:bottom w:w="80" w:type="dxa"/>
              <w:end w:w="120" w:type="dxa"/>
            </w:tcMar>
            <w:vAlign w:val="center"/>
            <w:shd w:fill="F2F4F7"/>
          </w:tcPr>
          <w:p>
            <w:pPr>
              <w:spacing w:after="0"/>
              <w:jc w:val="left"/>
            </w:pPr>
            <w:r>
              <w:rPr>
                <w:rFonts w:ascii="Calibri" w:hAnsi="Calibri"/>
                <w:b/>
                <w:color w:val="17365D"/>
                <w:sz w:val="19"/>
              </w:rPr>
              <w:t>Attack path</w:t>
            </w:r>
          </w:p>
        </w:tc>
        <w:tc>
          <w:tcPr>
            <w:tcW w:type="dxa" w:w="4070"/>
            <w:tcMar>
              <w:top w:w="80" w:type="dxa"/>
              <w:start w:w="120" w:type="dxa"/>
              <w:bottom w:w="80" w:type="dxa"/>
              <w:end w:w="120" w:type="dxa"/>
            </w:tcMar>
            <w:vAlign w:val="center"/>
            <w:shd w:fill="F2F4F7"/>
          </w:tcPr>
          <w:p>
            <w:pPr>
              <w:spacing w:after="0"/>
              <w:jc w:val="left"/>
            </w:pPr>
            <w:r>
              <w:rPr>
                <w:rFonts w:ascii="Calibri" w:hAnsi="Calibri"/>
                <w:b/>
                <w:color w:val="17365D"/>
                <w:sz w:val="19"/>
              </w:rPr>
              <w:t>Primary controls</w:t>
            </w:r>
          </w:p>
        </w:tc>
      </w:tr>
      <w:tr>
        <w:trPr>
          <w:cantSplit/>
        </w:trPr>
        <w:tc>
          <w:tcPr>
            <w:tcW w:type="dxa" w:w="1800"/>
            <w:shd w:fill="FBFCFD"/>
          </w:tcPr>
          <w:p>
            <w:pPr>
              <w:spacing w:after="0" w:line="252" w:lineRule="auto"/>
              <w:jc w:val="left"/>
            </w:pPr>
            <w:r>
              <w:rPr>
                <w:rFonts w:ascii="Calibri" w:hAnsi="Calibri"/>
                <w:color w:val="202833"/>
                <w:sz w:val="18"/>
              </w:rPr>
              <w:t>Seed theft</w:t>
            </w:r>
          </w:p>
        </w:tc>
        <w:tc>
          <w:tcPr>
            <w:tcW w:type="dxa" w:w="3490"/>
            <w:shd w:fill="FBFCFD"/>
          </w:tcPr>
          <w:p>
            <w:pPr>
              <w:spacing w:after="0" w:line="252" w:lineRule="auto"/>
              <w:jc w:val="left"/>
            </w:pPr>
            <w:r>
              <w:rPr>
                <w:rFonts w:ascii="Calibri" w:hAnsi="Calibri"/>
                <w:color w:val="202833"/>
                <w:sz w:val="18"/>
              </w:rPr>
              <w:t>Phishing, malware, cloud photos, clipboard, fake support, or fake migration.</w:t>
            </w:r>
          </w:p>
        </w:tc>
        <w:tc>
          <w:tcPr>
            <w:tcW w:type="dxa" w:w="4070"/>
            <w:shd w:fill="FBFCFD"/>
          </w:tcPr>
          <w:p>
            <w:pPr>
              <w:spacing w:after="0" w:line="252" w:lineRule="auto"/>
              <w:jc w:val="left"/>
            </w:pPr>
            <w:r>
              <w:rPr>
                <w:rFonts w:ascii="Calibri" w:hAnsi="Calibri"/>
                <w:color w:val="202833"/>
                <w:sz w:val="18"/>
              </w:rPr>
              <w:t>Offline backup, no digital copy, verified software, isolated recovery.</w:t>
            </w:r>
          </w:p>
        </w:tc>
      </w:tr>
      <w:tr>
        <w:trPr>
          <w:cantSplit/>
        </w:trPr>
        <w:tc>
          <w:tcPr>
            <w:tcW w:type="dxa" w:w="1800"/>
          </w:tcPr>
          <w:p>
            <w:pPr>
              <w:spacing w:after="0" w:line="252" w:lineRule="auto"/>
              <w:jc w:val="left"/>
            </w:pPr>
            <w:r>
              <w:rPr>
                <w:rFonts w:ascii="Calibri" w:hAnsi="Calibri"/>
                <w:color w:val="202833"/>
                <w:sz w:val="18"/>
              </w:rPr>
              <w:t>Malicious extension update</w:t>
            </w:r>
          </w:p>
        </w:tc>
        <w:tc>
          <w:tcPr>
            <w:tcW w:type="dxa" w:w="3490"/>
          </w:tcPr>
          <w:p>
            <w:pPr>
              <w:spacing w:after="0" w:line="252" w:lineRule="auto"/>
              <w:jc w:val="left"/>
            </w:pPr>
            <w:r>
              <w:rPr>
                <w:rFonts w:ascii="Calibri" w:hAnsi="Calibri"/>
                <w:color w:val="202833"/>
                <w:sz w:val="18"/>
              </w:rPr>
              <w:t>Compromised publisher, dependency, account, or supply chain.</w:t>
            </w:r>
          </w:p>
        </w:tc>
        <w:tc>
          <w:tcPr>
            <w:tcW w:type="dxa" w:w="4070"/>
          </w:tcPr>
          <w:p>
            <w:pPr>
              <w:spacing w:after="0" w:line="252" w:lineRule="auto"/>
              <w:jc w:val="left"/>
            </w:pPr>
            <w:r>
              <w:rPr>
                <w:rFonts w:ascii="Calibri" w:hAnsi="Calibri"/>
                <w:color w:val="202833"/>
                <w:sz w:val="18"/>
              </w:rPr>
              <w:t>Current maintenance, store verification, dedicated profile, small hot-wallet balance.</w:t>
            </w:r>
          </w:p>
        </w:tc>
      </w:tr>
      <w:tr>
        <w:trPr>
          <w:cantSplit/>
        </w:trPr>
        <w:tc>
          <w:tcPr>
            <w:tcW w:type="dxa" w:w="1800"/>
            <w:shd w:fill="FBFCFD"/>
          </w:tcPr>
          <w:p>
            <w:pPr>
              <w:spacing w:after="0" w:line="252" w:lineRule="auto"/>
              <w:jc w:val="left"/>
            </w:pPr>
            <w:r>
              <w:rPr>
                <w:rFonts w:ascii="Calibri" w:hAnsi="Calibri"/>
                <w:color w:val="202833"/>
                <w:sz w:val="18"/>
              </w:rPr>
              <w:t>Browser-wide data exposure</w:t>
            </w:r>
          </w:p>
        </w:tc>
        <w:tc>
          <w:tcPr>
            <w:tcW w:type="dxa" w:w="3490"/>
            <w:shd w:fill="FBFCFD"/>
          </w:tcPr>
          <w:p>
            <w:pPr>
              <w:spacing w:after="0" w:line="252" w:lineRule="auto"/>
              <w:jc w:val="left"/>
            </w:pPr>
            <w:r>
              <w:rPr>
                <w:rFonts w:ascii="Calibri" w:hAnsi="Calibri"/>
                <w:color w:val="202833"/>
                <w:sz w:val="18"/>
              </w:rPr>
              <w:t>Extension has access to tabs and website data.</w:t>
            </w:r>
          </w:p>
        </w:tc>
        <w:tc>
          <w:tcPr>
            <w:tcW w:type="dxa" w:w="4070"/>
            <w:shd w:fill="FBFCFD"/>
          </w:tcPr>
          <w:p>
            <w:pPr>
              <w:spacing w:after="0" w:line="252" w:lineRule="auto"/>
              <w:jc w:val="left"/>
            </w:pPr>
            <w:r>
              <w:rPr>
                <w:rFonts w:ascii="Calibri" w:hAnsi="Calibri"/>
                <w:color w:val="202833"/>
                <w:sz w:val="18"/>
              </w:rPr>
              <w:t>Minimize other browsing, segregate profiles, review permissions, remove when unused. [12]</w:t>
            </w:r>
          </w:p>
        </w:tc>
      </w:tr>
      <w:tr>
        <w:trPr>
          <w:cantSplit/>
        </w:trPr>
        <w:tc>
          <w:tcPr>
            <w:tcW w:type="dxa" w:w="1800"/>
          </w:tcPr>
          <w:p>
            <w:pPr>
              <w:spacing w:after="0" w:line="252" w:lineRule="auto"/>
              <w:jc w:val="left"/>
            </w:pPr>
            <w:r>
              <w:rPr>
                <w:rFonts w:ascii="Calibri" w:hAnsi="Calibri"/>
                <w:color w:val="202833"/>
                <w:sz w:val="18"/>
              </w:rPr>
              <w:t>Malicious dApp</w:t>
            </w:r>
          </w:p>
        </w:tc>
        <w:tc>
          <w:tcPr>
            <w:tcW w:type="dxa" w:w="3490"/>
          </w:tcPr>
          <w:p>
            <w:pPr>
              <w:spacing w:after="0" w:line="252" w:lineRule="auto"/>
              <w:jc w:val="left"/>
            </w:pPr>
            <w:r>
              <w:rPr>
                <w:rFonts w:ascii="Calibri" w:hAnsi="Calibri"/>
                <w:color w:val="202833"/>
                <w:sz w:val="18"/>
              </w:rPr>
              <w:t>Requests harmful Move transaction or deceptive message signature.</w:t>
            </w:r>
          </w:p>
        </w:tc>
        <w:tc>
          <w:tcPr>
            <w:tcW w:type="dxa" w:w="4070"/>
          </w:tcPr>
          <w:p>
            <w:pPr>
              <w:spacing w:after="0" w:line="252" w:lineRule="auto"/>
              <w:jc w:val="left"/>
            </w:pPr>
            <w:r>
              <w:rPr>
                <w:rFonts w:ascii="Calibri" w:hAnsi="Calibri"/>
                <w:color w:val="202833"/>
                <w:sz w:val="18"/>
              </w:rPr>
              <w:t>Origin verification, simulation, full call review, separate dApp account.</w:t>
            </w:r>
          </w:p>
        </w:tc>
      </w:tr>
      <w:tr>
        <w:trPr>
          <w:cantSplit/>
        </w:trPr>
        <w:tc>
          <w:tcPr>
            <w:tcW w:type="dxa" w:w="1800"/>
            <w:shd w:fill="FBFCFD"/>
          </w:tcPr>
          <w:p>
            <w:pPr>
              <w:spacing w:after="0" w:line="252" w:lineRule="auto"/>
              <w:jc w:val="left"/>
            </w:pPr>
            <w:r>
              <w:rPr>
                <w:rFonts w:ascii="Calibri" w:hAnsi="Calibri"/>
                <w:color w:val="202833"/>
                <w:sz w:val="18"/>
              </w:rPr>
              <w:t>Token spoofing</w:t>
            </w:r>
          </w:p>
        </w:tc>
        <w:tc>
          <w:tcPr>
            <w:tcW w:type="dxa" w:w="3490"/>
            <w:shd w:fill="FBFCFD"/>
          </w:tcPr>
          <w:p>
            <w:pPr>
              <w:spacing w:after="0" w:line="252" w:lineRule="auto"/>
              <w:jc w:val="left"/>
            </w:pPr>
            <w:r>
              <w:rPr>
                <w:rFonts w:ascii="Calibri" w:hAnsi="Calibri"/>
                <w:color w:val="202833"/>
                <w:sz w:val="18"/>
              </w:rPr>
              <w:t>Copies name, symbol, logo, and decimals.</w:t>
            </w:r>
          </w:p>
        </w:tc>
        <w:tc>
          <w:tcPr>
            <w:tcW w:type="dxa" w:w="4070"/>
            <w:shd w:fill="FBFCFD"/>
          </w:tcPr>
          <w:p>
            <w:pPr>
              <w:spacing w:after="0" w:line="252" w:lineRule="auto"/>
              <w:jc w:val="left"/>
            </w:pPr>
            <w:r>
              <w:rPr>
                <w:rFonts w:ascii="Calibri" w:hAnsi="Calibri"/>
                <w:color w:val="202833"/>
                <w:sz w:val="18"/>
              </w:rPr>
              <w:t>Verify metadata/object address or Move type with issuer source.</w:t>
            </w:r>
          </w:p>
        </w:tc>
      </w:tr>
      <w:tr>
        <w:trPr>
          <w:cantSplit/>
        </w:trPr>
        <w:tc>
          <w:tcPr>
            <w:tcW w:type="dxa" w:w="1800"/>
          </w:tcPr>
          <w:p>
            <w:pPr>
              <w:spacing w:after="0" w:line="252" w:lineRule="auto"/>
              <w:jc w:val="left"/>
            </w:pPr>
            <w:r>
              <w:rPr>
                <w:rFonts w:ascii="Calibri" w:hAnsi="Calibri"/>
                <w:color w:val="202833"/>
                <w:sz w:val="18"/>
              </w:rPr>
              <w:t>Wrong network/representation</w:t>
            </w:r>
          </w:p>
        </w:tc>
        <w:tc>
          <w:tcPr>
            <w:tcW w:type="dxa" w:w="3490"/>
          </w:tcPr>
          <w:p>
            <w:pPr>
              <w:spacing w:after="0" w:line="252" w:lineRule="auto"/>
              <w:jc w:val="left"/>
            </w:pPr>
            <w:r>
              <w:rPr>
                <w:rFonts w:ascii="Calibri" w:hAnsi="Calibri"/>
                <w:color w:val="202833"/>
                <w:sz w:val="18"/>
              </w:rPr>
              <w:t>Sends Aptos or external-chain asset to unsupported service.</w:t>
            </w:r>
          </w:p>
        </w:tc>
        <w:tc>
          <w:tcPr>
            <w:tcW w:type="dxa" w:w="4070"/>
          </w:tcPr>
          <w:p>
            <w:pPr>
              <w:spacing w:after="0" w:line="252" w:lineRule="auto"/>
              <w:jc w:val="left"/>
            </w:pPr>
            <w:r>
              <w:rPr>
                <w:rFonts w:ascii="Calibri" w:hAnsi="Calibri"/>
                <w:color w:val="202833"/>
                <w:sz w:val="18"/>
              </w:rPr>
              <w:t>Verify network and exact asset; small test.</w:t>
            </w:r>
          </w:p>
        </w:tc>
      </w:tr>
      <w:tr>
        <w:trPr>
          <w:cantSplit/>
        </w:trPr>
        <w:tc>
          <w:tcPr>
            <w:tcW w:type="dxa" w:w="1800"/>
            <w:shd w:fill="FBFCFD"/>
          </w:tcPr>
          <w:p>
            <w:pPr>
              <w:spacing w:after="0" w:line="252" w:lineRule="auto"/>
              <w:jc w:val="left"/>
            </w:pPr>
            <w:r>
              <w:rPr>
                <w:rFonts w:ascii="Calibri" w:hAnsi="Calibri"/>
                <w:color w:val="202833"/>
                <w:sz w:val="18"/>
              </w:rPr>
              <w:t>Indexer deception/failure</w:t>
            </w:r>
          </w:p>
        </w:tc>
        <w:tc>
          <w:tcPr>
            <w:tcW w:type="dxa" w:w="3490"/>
            <w:shd w:fill="FBFCFD"/>
          </w:tcPr>
          <w:p>
            <w:pPr>
              <w:spacing w:after="0" w:line="252" w:lineRule="auto"/>
              <w:jc w:val="left"/>
            </w:pPr>
            <w:r>
              <w:rPr>
                <w:rFonts w:ascii="Calibri" w:hAnsi="Calibri"/>
                <w:color w:val="202833"/>
                <w:sz w:val="18"/>
              </w:rPr>
              <w:t>Hides or misstates balances and history.</w:t>
            </w:r>
          </w:p>
        </w:tc>
        <w:tc>
          <w:tcPr>
            <w:tcW w:type="dxa" w:w="4070"/>
            <w:shd w:fill="FBFCFD"/>
          </w:tcPr>
          <w:p>
            <w:pPr>
              <w:spacing w:after="0" w:line="252" w:lineRule="auto"/>
              <w:jc w:val="left"/>
            </w:pPr>
            <w:r>
              <w:rPr>
                <w:rFonts w:ascii="Calibri" w:hAnsi="Calibri"/>
                <w:color w:val="202833"/>
                <w:sz w:val="18"/>
              </w:rPr>
              <w:t>Independent explorer/current wallet comparison and raw transaction evidence.</w:t>
            </w:r>
          </w:p>
        </w:tc>
      </w:tr>
      <w:tr>
        <w:trPr>
          <w:cantSplit/>
        </w:trPr>
        <w:tc>
          <w:tcPr>
            <w:tcW w:type="dxa" w:w="1800"/>
          </w:tcPr>
          <w:p>
            <w:pPr>
              <w:spacing w:after="0" w:line="252" w:lineRule="auto"/>
              <w:jc w:val="left"/>
            </w:pPr>
            <w:r>
              <w:rPr>
                <w:rFonts w:ascii="Calibri" w:hAnsi="Calibri"/>
                <w:color w:val="202833"/>
                <w:sz w:val="18"/>
              </w:rPr>
              <w:t>RPC manipulation/outage</w:t>
            </w:r>
          </w:p>
        </w:tc>
        <w:tc>
          <w:tcPr>
            <w:tcW w:type="dxa" w:w="3490"/>
          </w:tcPr>
          <w:p>
            <w:pPr>
              <w:spacing w:after="0" w:line="252" w:lineRule="auto"/>
              <w:jc w:val="left"/>
            </w:pPr>
            <w:r>
              <w:rPr>
                <w:rFonts w:ascii="Calibri" w:hAnsi="Calibri"/>
                <w:color w:val="202833"/>
                <w:sz w:val="18"/>
              </w:rPr>
              <w:t>Stale state, blocked submission, misleading estimates, tracking.</w:t>
            </w:r>
          </w:p>
        </w:tc>
        <w:tc>
          <w:tcPr>
            <w:tcW w:type="dxa" w:w="4070"/>
          </w:tcPr>
          <w:p>
            <w:pPr>
              <w:spacing w:after="0" w:line="252" w:lineRule="auto"/>
              <w:jc w:val="left"/>
            </w:pPr>
            <w:r>
              <w:rPr>
                <w:rFonts w:ascii="Calibri" w:hAnsi="Calibri"/>
                <w:color w:val="202833"/>
                <w:sz w:val="18"/>
              </w:rPr>
              <w:t>Multiple trusted endpoints where supported; compare ledger state independently.</w:t>
            </w:r>
          </w:p>
        </w:tc>
      </w:tr>
      <w:tr>
        <w:trPr>
          <w:cantSplit/>
        </w:trPr>
        <w:tc>
          <w:tcPr>
            <w:tcW w:type="dxa" w:w="1800"/>
            <w:shd w:fill="FBFCFD"/>
          </w:tcPr>
          <w:p>
            <w:pPr>
              <w:spacing w:after="0" w:line="252" w:lineRule="auto"/>
              <w:jc w:val="left"/>
            </w:pPr>
            <w:r>
              <w:rPr>
                <w:rFonts w:ascii="Calibri" w:hAnsi="Calibri"/>
                <w:color w:val="202833"/>
                <w:sz w:val="18"/>
              </w:rPr>
              <w:t>Old-client incompatibility</w:t>
            </w:r>
          </w:p>
        </w:tc>
        <w:tc>
          <w:tcPr>
            <w:tcW w:type="dxa" w:w="3490"/>
            <w:shd w:fill="FBFCFD"/>
          </w:tcPr>
          <w:p>
            <w:pPr>
              <w:spacing w:after="0" w:line="252" w:lineRule="auto"/>
              <w:jc w:val="left"/>
            </w:pPr>
            <w:r>
              <w:rPr>
                <w:rFonts w:ascii="Calibri" w:hAnsi="Calibri"/>
                <w:color w:val="202833"/>
                <w:sz w:val="18"/>
              </w:rPr>
              <w:t>Fails to implement FA migration, AIP-62, DA, or new authenticators.</w:t>
            </w:r>
          </w:p>
        </w:tc>
        <w:tc>
          <w:tcPr>
            <w:tcW w:type="dxa" w:w="4070"/>
            <w:shd w:fill="FBFCFD"/>
          </w:tcPr>
          <w:p>
            <w:pPr>
              <w:spacing w:after="0" w:line="252" w:lineRule="auto"/>
              <w:jc w:val="left"/>
            </w:pPr>
            <w:r>
              <w:rPr>
                <w:rFonts w:ascii="Calibri" w:hAnsi="Calibri"/>
                <w:color w:val="202833"/>
                <w:sz w:val="18"/>
              </w:rPr>
              <w:t>Prefer maintained wallet; test every modern feature before value exposure.</w:t>
            </w:r>
          </w:p>
        </w:tc>
      </w:tr>
      <w:tr>
        <w:trPr>
          <w:cantSplit/>
        </w:trPr>
        <w:tc>
          <w:tcPr>
            <w:tcW w:type="dxa" w:w="1800"/>
          </w:tcPr>
          <w:p>
            <w:pPr>
              <w:spacing w:after="0" w:line="252" w:lineRule="auto"/>
              <w:jc w:val="left"/>
            </w:pPr>
            <w:r>
              <w:rPr>
                <w:rFonts w:ascii="Calibri" w:hAnsi="Calibri"/>
                <w:color w:val="202833"/>
                <w:sz w:val="18"/>
              </w:rPr>
              <w:t>Swap/staking contract risk</w:t>
            </w:r>
          </w:p>
        </w:tc>
        <w:tc>
          <w:tcPr>
            <w:tcW w:type="dxa" w:w="3490"/>
          </w:tcPr>
          <w:p>
            <w:pPr>
              <w:spacing w:after="0" w:line="252" w:lineRule="auto"/>
              <w:jc w:val="left"/>
            </w:pPr>
            <w:r>
              <w:rPr>
                <w:rFonts w:ascii="Calibri" w:hAnsi="Calibri"/>
                <w:color w:val="202833"/>
                <w:sz w:val="18"/>
              </w:rPr>
              <w:t>Bug, admin action, oracle failure, depeg, or illiquidity.</w:t>
            </w:r>
          </w:p>
        </w:tc>
        <w:tc>
          <w:tcPr>
            <w:tcW w:type="dxa" w:w="4070"/>
          </w:tcPr>
          <w:p>
            <w:pPr>
              <w:spacing w:after="0" w:line="252" w:lineRule="auto"/>
              <w:jc w:val="left"/>
            </w:pPr>
            <w:r>
              <w:rPr>
                <w:rFonts w:ascii="Calibri" w:hAnsi="Calibri"/>
                <w:color w:val="202833"/>
                <w:sz w:val="18"/>
              </w:rPr>
              <w:t>Protocol due diligence, capped exposure, exact contract verification.</w:t>
            </w:r>
          </w:p>
        </w:tc>
      </w:tr>
      <w:tr>
        <w:trPr>
          <w:cantSplit/>
        </w:trPr>
        <w:tc>
          <w:tcPr>
            <w:tcW w:type="dxa" w:w="1800"/>
            <w:shd w:fill="FBFCFD"/>
          </w:tcPr>
          <w:p>
            <w:pPr>
              <w:spacing w:after="0" w:line="252" w:lineRule="auto"/>
              <w:jc w:val="left"/>
            </w:pPr>
            <w:r>
              <w:rPr>
                <w:rFonts w:ascii="Calibri" w:hAnsi="Calibri"/>
                <w:color w:val="202833"/>
                <w:sz w:val="18"/>
              </w:rPr>
              <w:t>Physical device compromise</w:t>
            </w:r>
          </w:p>
        </w:tc>
        <w:tc>
          <w:tcPr>
            <w:tcW w:type="dxa" w:w="3490"/>
            <w:shd w:fill="FBFCFD"/>
          </w:tcPr>
          <w:p>
            <w:pPr>
              <w:spacing w:after="0" w:line="252" w:lineRule="auto"/>
              <w:jc w:val="left"/>
            </w:pPr>
            <w:r>
              <w:rPr>
                <w:rFonts w:ascii="Calibri" w:hAnsi="Calibri"/>
                <w:color w:val="202833"/>
                <w:sz w:val="18"/>
              </w:rPr>
              <w:t>Unlocked phone/computer, shoulder surfing, or stolen session.</w:t>
            </w:r>
          </w:p>
        </w:tc>
        <w:tc>
          <w:tcPr>
            <w:tcW w:type="dxa" w:w="4070"/>
            <w:shd w:fill="FBFCFD"/>
          </w:tcPr>
          <w:p>
            <w:pPr>
              <w:spacing w:after="0" w:line="252" w:lineRule="auto"/>
              <w:jc w:val="left"/>
            </w:pPr>
            <w:r>
              <w:rPr>
                <w:rFonts w:ascii="Calibri" w:hAnsi="Calibri"/>
                <w:color w:val="202833"/>
                <w:sz w:val="18"/>
              </w:rPr>
              <w:t>Strong OS authentication, auto-lock, encryption, secure environment.</w:t>
            </w:r>
          </w:p>
        </w:tc>
      </w:tr>
      <w:tr>
        <w:trPr>
          <w:cantSplit/>
        </w:trPr>
        <w:tc>
          <w:tcPr>
            <w:tcW w:type="dxa" w:w="1800"/>
          </w:tcPr>
          <w:p>
            <w:pPr>
              <w:spacing w:after="0" w:line="252" w:lineRule="auto"/>
              <w:jc w:val="left"/>
            </w:pPr>
            <w:r>
              <w:rPr>
                <w:rFonts w:ascii="Calibri" w:hAnsi="Calibri"/>
                <w:color w:val="202833"/>
                <w:sz w:val="18"/>
              </w:rPr>
              <w:t>Address substitution</w:t>
            </w:r>
          </w:p>
        </w:tc>
        <w:tc>
          <w:tcPr>
            <w:tcW w:type="dxa" w:w="3490"/>
          </w:tcPr>
          <w:p>
            <w:pPr>
              <w:spacing w:after="0" w:line="252" w:lineRule="auto"/>
              <w:jc w:val="left"/>
            </w:pPr>
            <w:r>
              <w:rPr>
                <w:rFonts w:ascii="Calibri" w:hAnsi="Calibri"/>
                <w:color w:val="202833"/>
                <w:sz w:val="18"/>
              </w:rPr>
              <w:t>Clipboard malware or poisoned .apt resolution.</w:t>
            </w:r>
          </w:p>
        </w:tc>
        <w:tc>
          <w:tcPr>
            <w:tcW w:type="dxa" w:w="4070"/>
          </w:tcPr>
          <w:p>
            <w:pPr>
              <w:spacing w:after="0" w:line="252" w:lineRule="auto"/>
              <w:jc w:val="left"/>
            </w:pPr>
            <w:r>
              <w:rPr>
                <w:rFonts w:ascii="Calibri" w:hAnsi="Calibri"/>
                <w:color w:val="202833"/>
                <w:sz w:val="18"/>
              </w:rPr>
              <w:t>Verify full address after paste and on an independent channel.</w:t>
            </w:r>
          </w:p>
        </w:tc>
      </w:tr>
    </w:tbl>
    <w:p>
      <w:pPr>
        <w:widowControl/>
        <w:spacing w:after="0"/>
      </w:pPr>
    </w:p>
    <w:p>
      <w:pPr>
        <w:pStyle w:val="Heading2"/>
        <w:keepNext/>
        <w:widowControl/>
      </w:pPr>
      <w:r>
        <w:t>15.3 Security limitations created by the release gap</w:t>
      </w:r>
    </w:p>
    <w:p>
      <w:pPr>
        <w:widowControl/>
      </w:pPr>
      <w:r>
        <w:rPr>
          <w:rFonts w:ascii="Calibri" w:hAnsi="Calibri"/>
          <w:color w:val="202833"/>
        </w:rPr>
        <w:t>Wallet software must continuously track browser APIs, mobile operating systems, dependency vulnerabilities, dApp standards, serialization formats, token/indexer schemas, and protocol upgrades. A version last updated in 2023 cannot be presumed safe merely because it still launches. Lack of public updates does not prove compromise, but it removes an important assurance signal and increases compatibility and unpatched-vulnerability risk. [10][11][12][18][22]</w:t>
      </w:r>
    </w:p>
    <w:tbl>
      <w:tblPr>
        <w:tblW w:type="dxa" w:w="9360"/>
        <w:jc w:val="left"/>
        <w:tblLayout w:type="fixed"/>
        <w:tblLook w:firstColumn="1" w:firstRow="1" w:lastColumn="0" w:lastRow="0" w:noHBand="0" w:noVBand="1" w:val="04A0"/>
        <w:tblInd w:w="120" w:type="dxa"/>
        <w:tblBorders>
          <w:top w:val="single" w:sz="7" w:space="0" w:color="9B1C1C"/>
          <w:left w:val="single" w:sz="7" w:space="0" w:color="9B1C1C"/>
          <w:bottom w:val="single" w:sz="7" w:space="0" w:color="9B1C1C"/>
          <w:right w:val="single" w:sz="7" w:space="0" w:color="9B1C1C"/>
          <w:insideH w:val="single" w:sz="7" w:space="0" w:color="9B1C1C"/>
          <w:insideV w:val="single" w:sz="7" w:space="0" w:color="9B1C1C"/>
        </w:tblBorders>
      </w:tblPr>
      <w:tblGrid>
        <w:gridCol w:w="9360"/>
      </w:tblGrid>
      <w:tr>
        <w:trPr>
          <w:cantSplit/>
        </w:trPr>
        <w:tc>
          <w:tcPr>
            <w:tcW w:type="dxa" w:w="9360"/>
            <w:tcMar>
              <w:top w:w="80" w:type="dxa"/>
              <w:start w:w="120" w:type="dxa"/>
              <w:bottom w:w="80" w:type="dxa"/>
              <w:end w:w="120" w:type="dxa"/>
            </w:tcMar>
            <w:vAlign w:val="center"/>
            <w:shd w:fill="FCEEEF"/>
          </w:tcPr>
          <w:p>
            <w:pPr>
              <w:spacing w:after="60"/>
            </w:pPr>
            <w:r>
              <w:rPr>
                <w:rFonts w:ascii="Calibri" w:hAnsi="Calibri"/>
                <w:b/>
                <w:color w:val="9B1C1C"/>
              </w:rPr>
              <w:t>High-value rule</w:t>
            </w:r>
          </w:p>
          <w:p>
            <w:pPr>
              <w:spacing w:after="0" w:line="264" w:lineRule="auto"/>
            </w:pPr>
            <w:r>
              <w:rPr>
                <w:rFonts w:ascii="Calibri" w:hAnsi="Calibri"/>
                <w:color w:val="202833"/>
              </w:rPr>
              <w:t>Do not keep a large long-term balance in a browser or mobile wallet whose current maintenance, security review, modern standard compatibility, and recovery path have not been verified.</w:t>
            </w:r>
          </w:p>
        </w:tc>
      </w:tr>
    </w:tbl>
    <w:p>
      <w:pPr>
        <w:widowControl/>
        <w:spacing w:after="0"/>
      </w:pPr>
    </w:p>
    <w:p>
      <w:pPr>
        <w:pStyle w:val="Heading1"/>
        <w:keepNext/>
        <w:widowControl/>
      </w:pPr>
      <w:r>
        <w:t>16. Privacy and data exposure</w:t>
      </w:r>
    </w:p>
    <w:p>
      <w:pPr>
        <w:widowControl/>
      </w:pPr>
      <w:r>
        <w:rPr>
          <w:rFonts w:ascii="Calibri" w:hAnsi="Calibri"/>
          <w:color w:val="202833"/>
        </w:rPr>
        <w:t>Self-custody concerns control of keys; it does not mean the interface collects no data. Rise's privacy policy says the service may collect usage information, transaction network information, actions, IP address, ISP, browser, access time, pages visited, operating system, platform, device identifiers, and communications. It says Rise itself does not use cookies, but also says third-party analytics vendors, including Google Analytics, may set or access cookies or similar technologies. The policy is dated 12 December 2022. [9]</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800"/>
        <w:gridCol w:w="3920"/>
        <w:gridCol w:w="3640"/>
      </w:tblGrid>
      <w:tr>
        <w:trPr>
          <w:tblHeader w:val="true"/>
        </w:trPr>
        <w:tc>
          <w:tcPr>
            <w:tcW w:type="dxa" w:w="1800"/>
            <w:tcMar>
              <w:top w:w="80" w:type="dxa"/>
              <w:start w:w="120" w:type="dxa"/>
              <w:bottom w:w="80" w:type="dxa"/>
              <w:end w:w="120" w:type="dxa"/>
            </w:tcMar>
            <w:vAlign w:val="center"/>
            <w:shd w:fill="F2F4F7"/>
          </w:tcPr>
          <w:p>
            <w:pPr>
              <w:spacing w:after="0"/>
              <w:jc w:val="left"/>
            </w:pPr>
            <w:r>
              <w:rPr>
                <w:rFonts w:ascii="Calibri" w:hAnsi="Calibri"/>
                <w:b/>
                <w:color w:val="17365D"/>
                <w:sz w:val="19"/>
              </w:rPr>
              <w:t>Data source</w:t>
            </w:r>
          </w:p>
        </w:tc>
        <w:tc>
          <w:tcPr>
            <w:tcW w:type="dxa" w:w="3920"/>
            <w:tcMar>
              <w:top w:w="80" w:type="dxa"/>
              <w:start w:w="120" w:type="dxa"/>
              <w:bottom w:w="80" w:type="dxa"/>
              <w:end w:w="120" w:type="dxa"/>
            </w:tcMar>
            <w:vAlign w:val="center"/>
            <w:shd w:fill="F2F4F7"/>
          </w:tcPr>
          <w:p>
            <w:pPr>
              <w:spacing w:after="0"/>
              <w:jc w:val="left"/>
            </w:pPr>
            <w:r>
              <w:rPr>
                <w:rFonts w:ascii="Calibri" w:hAnsi="Calibri"/>
                <w:b/>
                <w:color w:val="17365D"/>
                <w:sz w:val="19"/>
              </w:rPr>
              <w:t>Potentially exposed information</w:t>
            </w:r>
          </w:p>
        </w:tc>
        <w:tc>
          <w:tcPr>
            <w:tcW w:type="dxa" w:w="3640"/>
            <w:tcMar>
              <w:top w:w="80" w:type="dxa"/>
              <w:start w:w="120" w:type="dxa"/>
              <w:bottom w:w="80" w:type="dxa"/>
              <w:end w:w="120" w:type="dxa"/>
            </w:tcMar>
            <w:vAlign w:val="center"/>
            <w:shd w:fill="F2F4F7"/>
          </w:tcPr>
          <w:p>
            <w:pPr>
              <w:spacing w:after="0"/>
              <w:jc w:val="left"/>
            </w:pPr>
            <w:r>
              <w:rPr>
                <w:rFonts w:ascii="Calibri" w:hAnsi="Calibri"/>
                <w:b/>
                <w:color w:val="17365D"/>
                <w:sz w:val="19"/>
              </w:rPr>
              <w:t>Mitigation</w:t>
            </w:r>
          </w:p>
        </w:tc>
      </w:tr>
      <w:tr>
        <w:trPr>
          <w:cantSplit/>
        </w:trPr>
        <w:tc>
          <w:tcPr>
            <w:tcW w:type="dxa" w:w="1800"/>
            <w:shd w:fill="FBFCFD"/>
          </w:tcPr>
          <w:p>
            <w:pPr>
              <w:spacing w:after="0" w:line="252" w:lineRule="auto"/>
              <w:jc w:val="left"/>
            </w:pPr>
            <w:r>
              <w:rPr>
                <w:rFonts w:ascii="Calibri" w:hAnsi="Calibri"/>
                <w:color w:val="202833"/>
                <w:sz w:val="18"/>
              </w:rPr>
              <w:t>Aptos ledger</w:t>
            </w:r>
          </w:p>
        </w:tc>
        <w:tc>
          <w:tcPr>
            <w:tcW w:type="dxa" w:w="3920"/>
            <w:shd w:fill="FBFCFD"/>
          </w:tcPr>
          <w:p>
            <w:pPr>
              <w:spacing w:after="0" w:line="252" w:lineRule="auto"/>
              <w:jc w:val="left"/>
            </w:pPr>
            <w:r>
              <w:rPr>
                <w:rFonts w:ascii="Calibri" w:hAnsi="Calibri"/>
                <w:color w:val="202833"/>
                <w:sz w:val="18"/>
              </w:rPr>
              <w:t>Addresses, balances, transfers, dApp calls, NFTs, staking, timestamps.</w:t>
            </w:r>
          </w:p>
        </w:tc>
        <w:tc>
          <w:tcPr>
            <w:tcW w:type="dxa" w:w="3640"/>
            <w:shd w:fill="FBFCFD"/>
          </w:tcPr>
          <w:p>
            <w:pPr>
              <w:spacing w:after="0" w:line="252" w:lineRule="auto"/>
              <w:jc w:val="left"/>
            </w:pPr>
            <w:r>
              <w:rPr>
                <w:rFonts w:ascii="Calibri" w:hAnsi="Calibri"/>
                <w:color w:val="202833"/>
                <w:sz w:val="18"/>
              </w:rPr>
              <w:t>Address separation and avoiding unnecessary public identity links; on-chain history cannot be erased.</w:t>
            </w:r>
          </w:p>
        </w:tc>
      </w:tr>
      <w:tr>
        <w:trPr>
          <w:cantSplit/>
        </w:trPr>
        <w:tc>
          <w:tcPr>
            <w:tcW w:type="dxa" w:w="1800"/>
          </w:tcPr>
          <w:p>
            <w:pPr>
              <w:spacing w:after="0" w:line="252" w:lineRule="auto"/>
              <w:jc w:val="left"/>
            </w:pPr>
            <w:r>
              <w:rPr>
                <w:rFonts w:ascii="Calibri" w:hAnsi="Calibri"/>
                <w:color w:val="202833"/>
                <w:sz w:val="18"/>
              </w:rPr>
              <w:t>RPC/indexer</w:t>
            </w:r>
          </w:p>
        </w:tc>
        <w:tc>
          <w:tcPr>
            <w:tcW w:type="dxa" w:w="3920"/>
          </w:tcPr>
          <w:p>
            <w:pPr>
              <w:spacing w:after="0" w:line="252" w:lineRule="auto"/>
              <w:jc w:val="left"/>
            </w:pPr>
            <w:r>
              <w:rPr>
                <w:rFonts w:ascii="Calibri" w:hAnsi="Calibri"/>
                <w:color w:val="202833"/>
                <w:sz w:val="18"/>
              </w:rPr>
              <w:t>IP address, queried accounts, timing, network, portfolio interests.</w:t>
            </w:r>
          </w:p>
        </w:tc>
        <w:tc>
          <w:tcPr>
            <w:tcW w:type="dxa" w:w="3640"/>
          </w:tcPr>
          <w:p>
            <w:pPr>
              <w:spacing w:after="0" w:line="252" w:lineRule="auto"/>
              <w:jc w:val="left"/>
            </w:pPr>
            <w:r>
              <w:rPr>
                <w:rFonts w:ascii="Calibri" w:hAnsi="Calibri"/>
                <w:color w:val="202833"/>
                <w:sz w:val="18"/>
              </w:rPr>
              <w:t>Trusted endpoint, privacy-aware network configuration, and avoiding shared address reuse.</w:t>
            </w:r>
          </w:p>
        </w:tc>
      </w:tr>
      <w:tr>
        <w:trPr>
          <w:cantSplit/>
        </w:trPr>
        <w:tc>
          <w:tcPr>
            <w:tcW w:type="dxa" w:w="1800"/>
            <w:shd w:fill="FBFCFD"/>
          </w:tcPr>
          <w:p>
            <w:pPr>
              <w:spacing w:after="0" w:line="252" w:lineRule="auto"/>
              <w:jc w:val="left"/>
            </w:pPr>
            <w:r>
              <w:rPr>
                <w:rFonts w:ascii="Calibri" w:hAnsi="Calibri"/>
                <w:color w:val="202833"/>
                <w:sz w:val="18"/>
              </w:rPr>
              <w:t>Price/metadata provider</w:t>
            </w:r>
          </w:p>
        </w:tc>
        <w:tc>
          <w:tcPr>
            <w:tcW w:type="dxa" w:w="3920"/>
            <w:shd w:fill="FBFCFD"/>
          </w:tcPr>
          <w:p>
            <w:pPr>
              <w:spacing w:after="0" w:line="252" w:lineRule="auto"/>
              <w:jc w:val="left"/>
            </w:pPr>
            <w:r>
              <w:rPr>
                <w:rFonts w:ascii="Calibri" w:hAnsi="Calibri"/>
                <w:color w:val="202833"/>
                <w:sz w:val="18"/>
              </w:rPr>
              <w:t>Requested assets, account-derived portfolio context, device/network data.</w:t>
            </w:r>
          </w:p>
        </w:tc>
        <w:tc>
          <w:tcPr>
            <w:tcW w:type="dxa" w:w="3640"/>
            <w:shd w:fill="FBFCFD"/>
          </w:tcPr>
          <w:p>
            <w:pPr>
              <w:spacing w:after="0" w:line="252" w:lineRule="auto"/>
              <w:jc w:val="left"/>
            </w:pPr>
            <w:r>
              <w:rPr>
                <w:rFonts w:ascii="Calibri" w:hAnsi="Calibri"/>
                <w:color w:val="202833"/>
                <w:sz w:val="18"/>
              </w:rPr>
              <w:t>Limit integrations where possible and compare privacy policies.</w:t>
            </w:r>
          </w:p>
        </w:tc>
      </w:tr>
      <w:tr>
        <w:trPr>
          <w:cantSplit/>
        </w:trPr>
        <w:tc>
          <w:tcPr>
            <w:tcW w:type="dxa" w:w="1800"/>
          </w:tcPr>
          <w:p>
            <w:pPr>
              <w:spacing w:after="0" w:line="252" w:lineRule="auto"/>
              <w:jc w:val="left"/>
            </w:pPr>
            <w:r>
              <w:rPr>
                <w:rFonts w:ascii="Calibri" w:hAnsi="Calibri"/>
                <w:color w:val="202833"/>
                <w:sz w:val="18"/>
              </w:rPr>
              <w:t>Notifications</w:t>
            </w:r>
          </w:p>
        </w:tc>
        <w:tc>
          <w:tcPr>
            <w:tcW w:type="dxa" w:w="3920"/>
          </w:tcPr>
          <w:p>
            <w:pPr>
              <w:spacing w:after="0" w:line="252" w:lineRule="auto"/>
              <w:jc w:val="left"/>
            </w:pPr>
            <w:r>
              <w:rPr>
                <w:rFonts w:ascii="Calibri" w:hAnsi="Calibri"/>
                <w:color w:val="202833"/>
                <w:sz w:val="18"/>
              </w:rPr>
              <w:t>Device token, subscriptions, address activity categories.</w:t>
            </w:r>
          </w:p>
        </w:tc>
        <w:tc>
          <w:tcPr>
            <w:tcW w:type="dxa" w:w="3640"/>
          </w:tcPr>
          <w:p>
            <w:pPr>
              <w:spacing w:after="0" w:line="252" w:lineRule="auto"/>
              <w:jc w:val="left"/>
            </w:pPr>
            <w:r>
              <w:rPr>
                <w:rFonts w:ascii="Calibri" w:hAnsi="Calibri"/>
                <w:color w:val="202833"/>
                <w:sz w:val="18"/>
              </w:rPr>
              <w:t>Disable unnecessary notifications and avoid opening links directly.</w:t>
            </w:r>
          </w:p>
        </w:tc>
      </w:tr>
      <w:tr>
        <w:trPr>
          <w:cantSplit/>
        </w:trPr>
        <w:tc>
          <w:tcPr>
            <w:tcW w:type="dxa" w:w="1800"/>
            <w:shd w:fill="FBFCFD"/>
          </w:tcPr>
          <w:p>
            <w:pPr>
              <w:spacing w:after="0" w:line="252" w:lineRule="auto"/>
              <w:jc w:val="left"/>
            </w:pPr>
            <w:r>
              <w:rPr>
                <w:rFonts w:ascii="Calibri" w:hAnsi="Calibri"/>
                <w:color w:val="202833"/>
                <w:sz w:val="18"/>
              </w:rPr>
              <w:t>Support communications</w:t>
            </w:r>
          </w:p>
        </w:tc>
        <w:tc>
          <w:tcPr>
            <w:tcW w:type="dxa" w:w="3920"/>
            <w:shd w:fill="FBFCFD"/>
          </w:tcPr>
          <w:p>
            <w:pPr>
              <w:spacing w:after="0" w:line="252" w:lineRule="auto"/>
              <w:jc w:val="left"/>
            </w:pPr>
            <w:r>
              <w:rPr>
                <w:rFonts w:ascii="Calibri" w:hAnsi="Calibri"/>
                <w:color w:val="202833"/>
                <w:sz w:val="18"/>
              </w:rPr>
              <w:t>Email, message contents, attachments, voluntarily supplied identifiers.</w:t>
            </w:r>
          </w:p>
        </w:tc>
        <w:tc>
          <w:tcPr>
            <w:tcW w:type="dxa" w:w="3640"/>
            <w:shd w:fill="FBFCFD"/>
          </w:tcPr>
          <w:p>
            <w:pPr>
              <w:spacing w:after="0" w:line="252" w:lineRule="auto"/>
              <w:jc w:val="left"/>
            </w:pPr>
            <w:r>
              <w:rPr>
                <w:rFonts w:ascii="Calibri" w:hAnsi="Calibri"/>
                <w:color w:val="202833"/>
                <w:sz w:val="18"/>
              </w:rPr>
              <w:t>Never include seed/private key; redact unrelated addresses and documents.</w:t>
            </w:r>
          </w:p>
        </w:tc>
      </w:tr>
      <w:tr>
        <w:trPr>
          <w:cantSplit/>
        </w:trPr>
        <w:tc>
          <w:tcPr>
            <w:tcW w:type="dxa" w:w="1800"/>
          </w:tcPr>
          <w:p>
            <w:pPr>
              <w:spacing w:after="0" w:line="252" w:lineRule="auto"/>
              <w:jc w:val="left"/>
            </w:pPr>
            <w:r>
              <w:rPr>
                <w:rFonts w:ascii="Calibri" w:hAnsi="Calibri"/>
                <w:color w:val="202833"/>
                <w:sz w:val="18"/>
              </w:rPr>
              <w:t>Mobile/app analytics</w:t>
            </w:r>
          </w:p>
        </w:tc>
        <w:tc>
          <w:tcPr>
            <w:tcW w:type="dxa" w:w="3920"/>
          </w:tcPr>
          <w:p>
            <w:pPr>
              <w:spacing w:after="0" w:line="252" w:lineRule="auto"/>
              <w:jc w:val="left"/>
            </w:pPr>
            <w:r>
              <w:rPr>
                <w:rFonts w:ascii="Calibri" w:hAnsi="Calibri"/>
                <w:color w:val="202833"/>
                <w:sz w:val="18"/>
              </w:rPr>
              <w:t>Usage and product interaction; Apple lists usage data not linked to identity.</w:t>
            </w:r>
          </w:p>
        </w:tc>
        <w:tc>
          <w:tcPr>
            <w:tcW w:type="dxa" w:w="3640"/>
          </w:tcPr>
          <w:p>
            <w:pPr>
              <w:spacing w:after="0" w:line="252" w:lineRule="auto"/>
              <w:jc w:val="left"/>
            </w:pPr>
            <w:r>
              <w:rPr>
                <w:rFonts w:ascii="Calibri" w:hAnsi="Calibri"/>
                <w:color w:val="202833"/>
                <w:sz w:val="18"/>
              </w:rPr>
              <w:t>Review OS privacy controls and current store disclosure. [10]</w:t>
            </w:r>
          </w:p>
        </w:tc>
      </w:tr>
    </w:tbl>
    <w:p>
      <w:pPr>
        <w:widowControl/>
        <w:spacing w:after="0"/>
      </w:pPr>
    </w:p>
    <w:p>
      <w:pPr>
        <w:pStyle w:val="Heading2"/>
        <w:keepNext/>
        <w:widowControl/>
      </w:pPr>
      <w:r>
        <w:t>16.1 Disclosure inconsistencies</w:t>
      </w:r>
    </w:p>
    <w:p>
      <w:pPr>
        <w:widowControl/>
      </w:pPr>
      <w:r>
        <w:rPr>
          <w:rFonts w:ascii="Calibri" w:hAnsi="Calibri"/>
          <w:color w:val="202833"/>
        </w:rPr>
        <w:t>Google Play states “No data collected” and “No data shared with third parties” based on the developer's store declaration, while the website privacy policy says usage, technical, communications, and analytics data may be collected and shared with service providers. These statements can reflect different product scopes, dates, or definitions, but they are not identical. A conservative assessment uses the broader policy and assumes remote infrastructure can observe public addresses and IP-level metadata. [9][11]</w:t>
      </w:r>
    </w:p>
    <w:p>
      <w:pPr>
        <w:pStyle w:val="Heading1"/>
        <w:keepNext/>
        <w:pageBreakBefore/>
        <w:widowControl/>
      </w:pPr>
      <w:r>
        <w:t>17. Product freshness and present-day compatibility</w:t>
      </w:r>
    </w:p>
    <w:tbl>
      <w:tblPr>
        <w:tblW w:type="dxa" w:w="9360"/>
        <w:jc w:val="left"/>
        <w:tblLayout w:type="fixed"/>
        <w:tblLook w:firstColumn="1" w:firstRow="1" w:lastColumn="0" w:lastRow="0" w:noHBand="0" w:noVBand="1" w:val="04A0"/>
        <w:tblInd w:w="120" w:type="dxa"/>
        <w:tblBorders>
          <w:top w:val="single" w:sz="7" w:space="0" w:color="8A5B00"/>
          <w:left w:val="single" w:sz="7" w:space="0" w:color="8A5B00"/>
          <w:bottom w:val="single" w:sz="7" w:space="0" w:color="8A5B00"/>
          <w:right w:val="single" w:sz="7" w:space="0" w:color="8A5B00"/>
          <w:insideH w:val="single" w:sz="7" w:space="0" w:color="8A5B00"/>
          <w:insideV w:val="single" w:sz="7" w:space="0" w:color="8A5B00"/>
        </w:tblBorders>
      </w:tblPr>
      <w:tblGrid>
        <w:gridCol w:w="9360"/>
      </w:tblGrid>
      <w:tr>
        <w:trPr>
          <w:cantSplit/>
        </w:trPr>
        <w:tc>
          <w:tcPr>
            <w:tcW w:type="dxa" w:w="9360"/>
            <w:tcMar>
              <w:top w:w="80" w:type="dxa"/>
              <w:start w:w="120" w:type="dxa"/>
              <w:bottom w:w="80" w:type="dxa"/>
              <w:end w:w="120" w:type="dxa"/>
            </w:tcMar>
            <w:vAlign w:val="center"/>
            <w:shd w:fill="FFF5D6"/>
          </w:tcPr>
          <w:p>
            <w:pPr>
              <w:spacing w:after="60"/>
            </w:pPr>
            <w:r>
              <w:rPr>
                <w:rFonts w:ascii="Calibri" w:hAnsi="Calibri"/>
                <w:b/>
                <w:color w:val="8A5B00"/>
              </w:rPr>
              <w:t>Material finding</w:t>
            </w:r>
          </w:p>
          <w:p>
            <w:pPr>
              <w:spacing w:after="0" w:line="264" w:lineRule="auto"/>
            </w:pPr>
            <w:r>
              <w:rPr>
                <w:rFonts w:ascii="Calibri" w:hAnsi="Calibri"/>
                <w:color w:val="202833"/>
              </w:rPr>
              <w:t>Rise's public distribution remains accessible, but its verified application and extension releases date from July-August 2023, while the core documentation is approximately three years old. Aptos introduced material wallet, account, transaction, and asset changes after those releases. [5]-[12][18][22][23]</w:t>
            </w:r>
          </w:p>
        </w:tc>
      </w:tr>
    </w:tbl>
    <w:p>
      <w:pPr>
        <w:widowControl/>
        <w:spacing w:after="0"/>
      </w:pP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800"/>
        <w:gridCol w:w="3480"/>
        <w:gridCol w:w="4080"/>
      </w:tblGrid>
      <w:tr>
        <w:trPr>
          <w:tblHeader w:val="true"/>
        </w:trPr>
        <w:tc>
          <w:tcPr>
            <w:tcW w:type="dxa" w:w="1800"/>
            <w:tcMar>
              <w:top w:w="80" w:type="dxa"/>
              <w:start w:w="120" w:type="dxa"/>
              <w:bottom w:w="80" w:type="dxa"/>
              <w:end w:w="120" w:type="dxa"/>
            </w:tcMar>
            <w:vAlign w:val="center"/>
            <w:shd w:fill="F2F4F7"/>
          </w:tcPr>
          <w:p>
            <w:pPr>
              <w:spacing w:after="0"/>
              <w:jc w:val="left"/>
            </w:pPr>
            <w:r>
              <w:rPr>
                <w:rFonts w:ascii="Calibri" w:hAnsi="Calibri"/>
                <w:b/>
                <w:color w:val="17365D"/>
                <w:sz w:val="19"/>
              </w:rPr>
              <w:t>Post-2023 area</w:t>
            </w:r>
          </w:p>
        </w:tc>
        <w:tc>
          <w:tcPr>
            <w:tcW w:type="dxa" w:w="3480"/>
            <w:tcMar>
              <w:top w:w="80" w:type="dxa"/>
              <w:start w:w="120" w:type="dxa"/>
              <w:bottom w:w="80" w:type="dxa"/>
              <w:end w:w="120" w:type="dxa"/>
            </w:tcMar>
            <w:vAlign w:val="center"/>
            <w:shd w:fill="F2F4F7"/>
          </w:tcPr>
          <w:p>
            <w:pPr>
              <w:spacing w:after="0"/>
              <w:jc w:val="left"/>
            </w:pPr>
            <w:r>
              <w:rPr>
                <w:rFonts w:ascii="Calibri" w:hAnsi="Calibri"/>
                <w:b/>
                <w:color w:val="17365D"/>
                <w:sz w:val="19"/>
              </w:rPr>
              <w:t>Current Aptos direction</w:t>
            </w:r>
          </w:p>
        </w:tc>
        <w:tc>
          <w:tcPr>
            <w:tcW w:type="dxa" w:w="4080"/>
            <w:tcMar>
              <w:top w:w="80" w:type="dxa"/>
              <w:start w:w="120" w:type="dxa"/>
              <w:bottom w:w="80" w:type="dxa"/>
              <w:end w:w="120" w:type="dxa"/>
            </w:tcMar>
            <w:vAlign w:val="center"/>
            <w:shd w:fill="F2F4F7"/>
          </w:tcPr>
          <w:p>
            <w:pPr>
              <w:spacing w:after="0"/>
              <w:jc w:val="left"/>
            </w:pPr>
            <w:r>
              <w:rPr>
                <w:rFonts w:ascii="Calibri" w:hAnsi="Calibri"/>
                <w:b/>
                <w:color w:val="17365D"/>
                <w:sz w:val="19"/>
              </w:rPr>
              <w:t>Risk for an old Rise build</w:t>
            </w:r>
          </w:p>
        </w:tc>
      </w:tr>
      <w:tr>
        <w:trPr>
          <w:cantSplit/>
        </w:trPr>
        <w:tc>
          <w:tcPr>
            <w:tcW w:type="dxa" w:w="1800"/>
            <w:shd w:fill="FBFCFD"/>
          </w:tcPr>
          <w:p>
            <w:pPr>
              <w:spacing w:after="0" w:line="252" w:lineRule="auto"/>
              <w:jc w:val="left"/>
            </w:pPr>
            <w:r>
              <w:rPr>
                <w:rFonts w:ascii="Calibri" w:hAnsi="Calibri"/>
                <w:color w:val="202833"/>
                <w:sz w:val="18"/>
              </w:rPr>
              <w:t>Fungible assets</w:t>
            </w:r>
          </w:p>
        </w:tc>
        <w:tc>
          <w:tcPr>
            <w:tcW w:type="dxa" w:w="3480"/>
            <w:shd w:fill="FBFCFD"/>
          </w:tcPr>
          <w:p>
            <w:pPr>
              <w:spacing w:after="0" w:line="252" w:lineRule="auto"/>
              <w:jc w:val="left"/>
            </w:pPr>
            <w:r>
              <w:rPr>
                <w:rFonts w:ascii="Calibri" w:hAnsi="Calibri"/>
                <w:color w:val="202833"/>
                <w:sz w:val="18"/>
              </w:rPr>
              <w:t>FA/DFA object model and 2025 Coin migration.</w:t>
            </w:r>
          </w:p>
        </w:tc>
        <w:tc>
          <w:tcPr>
            <w:tcW w:type="dxa" w:w="4080"/>
            <w:shd w:fill="FBFCFD"/>
          </w:tcPr>
          <w:p>
            <w:pPr>
              <w:spacing w:after="0" w:line="252" w:lineRule="auto"/>
              <w:jc w:val="left"/>
            </w:pPr>
            <w:r>
              <w:rPr>
                <w:rFonts w:ascii="Calibri" w:hAnsi="Calibri"/>
                <w:color w:val="202833"/>
                <w:sz w:val="18"/>
              </w:rPr>
              <w:t>Missing, duplicated, mispriced, or untransferable balances. [18]</w:t>
            </w:r>
          </w:p>
        </w:tc>
      </w:tr>
      <w:tr>
        <w:trPr>
          <w:cantSplit/>
        </w:trPr>
        <w:tc>
          <w:tcPr>
            <w:tcW w:type="dxa" w:w="1800"/>
          </w:tcPr>
          <w:p>
            <w:pPr>
              <w:spacing w:after="0" w:line="252" w:lineRule="auto"/>
              <w:jc w:val="left"/>
            </w:pPr>
            <w:r>
              <w:rPr>
                <w:rFonts w:ascii="Calibri" w:hAnsi="Calibri"/>
                <w:color w:val="202833"/>
                <w:sz w:val="18"/>
              </w:rPr>
              <w:t>Wallet integration</w:t>
            </w:r>
          </w:p>
        </w:tc>
        <w:tc>
          <w:tcPr>
            <w:tcW w:type="dxa" w:w="3480"/>
          </w:tcPr>
          <w:p>
            <w:pPr>
              <w:spacing w:after="0" w:line="252" w:lineRule="auto"/>
              <w:jc w:val="left"/>
            </w:pPr>
            <w:r>
              <w:rPr>
                <w:rFonts w:ascii="Calibri" w:hAnsi="Calibri"/>
                <w:color w:val="202833"/>
                <w:sz w:val="18"/>
              </w:rPr>
              <w:t>AIP-62 modern standard; legacy browser globals removed from modern patterns.</w:t>
            </w:r>
          </w:p>
        </w:tc>
        <w:tc>
          <w:tcPr>
            <w:tcW w:type="dxa" w:w="4080"/>
          </w:tcPr>
          <w:p>
            <w:pPr>
              <w:spacing w:after="0" w:line="252" w:lineRule="auto"/>
              <w:jc w:val="left"/>
            </w:pPr>
            <w:r>
              <w:rPr>
                <w:rFonts w:ascii="Calibri" w:hAnsi="Calibri"/>
                <w:color w:val="202833"/>
                <w:sz w:val="18"/>
              </w:rPr>
              <w:t>Rise may not appear in current dApps or may rely on deprecated adapters. [22][23]</w:t>
            </w:r>
          </w:p>
        </w:tc>
      </w:tr>
      <w:tr>
        <w:trPr>
          <w:cantSplit/>
        </w:trPr>
        <w:tc>
          <w:tcPr>
            <w:tcW w:type="dxa" w:w="1800"/>
            <w:shd w:fill="FBFCFD"/>
          </w:tcPr>
          <w:p>
            <w:pPr>
              <w:spacing w:after="0" w:line="252" w:lineRule="auto"/>
              <w:jc w:val="left"/>
            </w:pPr>
            <w:r>
              <w:rPr>
                <w:rFonts w:ascii="Calibri" w:hAnsi="Calibri"/>
                <w:color w:val="202833"/>
                <w:sz w:val="18"/>
              </w:rPr>
              <w:t>Digital Assets</w:t>
            </w:r>
          </w:p>
        </w:tc>
        <w:tc>
          <w:tcPr>
            <w:tcW w:type="dxa" w:w="3480"/>
            <w:shd w:fill="FBFCFD"/>
          </w:tcPr>
          <w:p>
            <w:pPr>
              <w:spacing w:after="0" w:line="252" w:lineRule="auto"/>
              <w:jc w:val="left"/>
            </w:pPr>
            <w:r>
              <w:rPr>
                <w:rFonts w:ascii="Calibri" w:hAnsi="Calibri"/>
                <w:color w:val="202833"/>
                <w:sz w:val="18"/>
              </w:rPr>
              <w:t>Object-based DA recommended for new NFTs.</w:t>
            </w:r>
          </w:p>
        </w:tc>
        <w:tc>
          <w:tcPr>
            <w:tcW w:type="dxa" w:w="4080"/>
            <w:shd w:fill="FBFCFD"/>
          </w:tcPr>
          <w:p>
            <w:pPr>
              <w:spacing w:after="0" w:line="252" w:lineRule="auto"/>
              <w:jc w:val="left"/>
            </w:pPr>
            <w:r>
              <w:rPr>
                <w:rFonts w:ascii="Calibri" w:hAnsi="Calibri"/>
                <w:color w:val="202833"/>
                <w:sz w:val="18"/>
              </w:rPr>
              <w:t>Gallery and transfer workflows may only understand legacy Token behavior. [20][21]</w:t>
            </w:r>
          </w:p>
        </w:tc>
      </w:tr>
      <w:tr>
        <w:trPr>
          <w:cantSplit/>
        </w:trPr>
        <w:tc>
          <w:tcPr>
            <w:tcW w:type="dxa" w:w="1800"/>
          </w:tcPr>
          <w:p>
            <w:pPr>
              <w:spacing w:after="0" w:line="252" w:lineRule="auto"/>
              <w:jc w:val="left"/>
            </w:pPr>
            <w:r>
              <w:rPr>
                <w:rFonts w:ascii="Calibri" w:hAnsi="Calibri"/>
                <w:color w:val="202833"/>
                <w:sz w:val="18"/>
              </w:rPr>
              <w:t>Authentication</w:t>
            </w:r>
          </w:p>
        </w:tc>
        <w:tc>
          <w:tcPr>
            <w:tcW w:type="dxa" w:w="3480"/>
          </w:tcPr>
          <w:p>
            <w:pPr>
              <w:spacing w:after="0" w:line="252" w:lineRule="auto"/>
              <w:jc w:val="left"/>
            </w:pPr>
            <w:r>
              <w:rPr>
                <w:rFonts w:ascii="Calibri" w:hAnsi="Calibri"/>
                <w:color w:val="202833"/>
                <w:sz w:val="18"/>
              </w:rPr>
              <w:t>SingleKey, MultiKey, WebAuthn, keyless, and additional variants exist.</w:t>
            </w:r>
          </w:p>
        </w:tc>
        <w:tc>
          <w:tcPr>
            <w:tcW w:type="dxa" w:w="4080"/>
          </w:tcPr>
          <w:p>
            <w:pPr>
              <w:spacing w:after="0" w:line="252" w:lineRule="auto"/>
              <w:jc w:val="left"/>
            </w:pPr>
            <w:r>
              <w:rPr>
                <w:rFonts w:ascii="Calibri" w:hAnsi="Calibri"/>
                <w:color w:val="202833"/>
                <w:sz w:val="18"/>
              </w:rPr>
              <w:t>Import or signing may support only legacy Ed25519 assumptions. [13][23]</w:t>
            </w:r>
          </w:p>
        </w:tc>
      </w:tr>
      <w:tr>
        <w:trPr>
          <w:cantSplit/>
        </w:trPr>
        <w:tc>
          <w:tcPr>
            <w:tcW w:type="dxa" w:w="1800"/>
            <w:shd w:fill="FBFCFD"/>
          </w:tcPr>
          <w:p>
            <w:pPr>
              <w:spacing w:after="0" w:line="252" w:lineRule="auto"/>
              <w:jc w:val="left"/>
            </w:pPr>
            <w:r>
              <w:rPr>
                <w:rFonts w:ascii="Calibri" w:hAnsi="Calibri"/>
                <w:color w:val="202833"/>
                <w:sz w:val="18"/>
              </w:rPr>
              <w:t>Transactions</w:t>
            </w:r>
          </w:p>
        </w:tc>
        <w:tc>
          <w:tcPr>
            <w:tcW w:type="dxa" w:w="3480"/>
            <w:shd w:fill="FBFCFD"/>
          </w:tcPr>
          <w:p>
            <w:pPr>
              <w:spacing w:after="0" w:line="252" w:lineRule="auto"/>
              <w:jc w:val="left"/>
            </w:pPr>
            <w:r>
              <w:rPr>
                <w:rFonts w:ascii="Calibri" w:hAnsi="Calibri"/>
                <w:color w:val="202833"/>
                <w:sz w:val="18"/>
              </w:rPr>
              <w:t>Sponsored, multi-agent, and orderless flows exist at protocol/SDK level.</w:t>
            </w:r>
          </w:p>
        </w:tc>
        <w:tc>
          <w:tcPr>
            <w:tcW w:type="dxa" w:w="4080"/>
            <w:shd w:fill="FBFCFD"/>
          </w:tcPr>
          <w:p>
            <w:pPr>
              <w:spacing w:after="0" w:line="252" w:lineRule="auto"/>
              <w:jc w:val="left"/>
            </w:pPr>
            <w:r>
              <w:rPr>
                <w:rFonts w:ascii="Calibri" w:hAnsi="Calibri"/>
                <w:color w:val="202833"/>
                <w:sz w:val="18"/>
              </w:rPr>
              <w:t>Client may fail to decode, construct, or simulate modern transaction types.</w:t>
            </w:r>
          </w:p>
        </w:tc>
      </w:tr>
      <w:tr>
        <w:trPr>
          <w:cantSplit/>
        </w:trPr>
        <w:tc>
          <w:tcPr>
            <w:tcW w:type="dxa" w:w="1800"/>
          </w:tcPr>
          <w:p>
            <w:pPr>
              <w:spacing w:after="0" w:line="252" w:lineRule="auto"/>
              <w:jc w:val="left"/>
            </w:pPr>
            <w:r>
              <w:rPr>
                <w:rFonts w:ascii="Calibri" w:hAnsi="Calibri"/>
                <w:color w:val="202833"/>
                <w:sz w:val="18"/>
              </w:rPr>
              <w:t>OS/browser security</w:t>
            </w:r>
          </w:p>
        </w:tc>
        <w:tc>
          <w:tcPr>
            <w:tcW w:type="dxa" w:w="3480"/>
          </w:tcPr>
          <w:p>
            <w:pPr>
              <w:spacing w:after="0" w:line="252" w:lineRule="auto"/>
              <w:jc w:val="left"/>
            </w:pPr>
            <w:r>
              <w:rPr>
                <w:rFonts w:ascii="Calibri" w:hAnsi="Calibri"/>
                <w:color w:val="202833"/>
                <w:sz w:val="18"/>
              </w:rPr>
              <w:t>Browsers and mobile platforms changed for three years.</w:t>
            </w:r>
          </w:p>
        </w:tc>
        <w:tc>
          <w:tcPr>
            <w:tcW w:type="dxa" w:w="4080"/>
          </w:tcPr>
          <w:p>
            <w:pPr>
              <w:spacing w:after="0" w:line="252" w:lineRule="auto"/>
              <w:jc w:val="left"/>
            </w:pPr>
            <w:r>
              <w:rPr>
                <w:rFonts w:ascii="Calibri" w:hAnsi="Calibri"/>
                <w:color w:val="202833"/>
                <w:sz w:val="18"/>
              </w:rPr>
              <w:t>Permission/API incompatibility and unpatched dependency vulnerabilities.</w:t>
            </w:r>
          </w:p>
        </w:tc>
      </w:tr>
      <w:tr>
        <w:trPr>
          <w:cantSplit/>
        </w:trPr>
        <w:tc>
          <w:tcPr>
            <w:tcW w:type="dxa" w:w="1800"/>
            <w:shd w:fill="FBFCFD"/>
          </w:tcPr>
          <w:p>
            <w:pPr>
              <w:spacing w:after="0" w:line="252" w:lineRule="auto"/>
              <w:jc w:val="left"/>
            </w:pPr>
            <w:r>
              <w:rPr>
                <w:rFonts w:ascii="Calibri" w:hAnsi="Calibri"/>
                <w:color w:val="202833"/>
                <w:sz w:val="18"/>
              </w:rPr>
              <w:t>Issuer assets</w:t>
            </w:r>
          </w:p>
        </w:tc>
        <w:tc>
          <w:tcPr>
            <w:tcW w:type="dxa" w:w="3480"/>
            <w:shd w:fill="FBFCFD"/>
          </w:tcPr>
          <w:p>
            <w:pPr>
              <w:spacing w:after="0" w:line="252" w:lineRule="auto"/>
              <w:jc w:val="left"/>
            </w:pPr>
            <w:r>
              <w:rPr>
                <w:rFonts w:ascii="Calibri" w:hAnsi="Calibri"/>
                <w:color w:val="202833"/>
                <w:sz w:val="18"/>
              </w:rPr>
              <w:t>Native USDC, native USDt, USDe, RWAs, and new FAs arrived.</w:t>
            </w:r>
          </w:p>
        </w:tc>
        <w:tc>
          <w:tcPr>
            <w:tcW w:type="dxa" w:w="4080"/>
            <w:shd w:fill="FBFCFD"/>
          </w:tcPr>
          <w:p>
            <w:pPr>
              <w:spacing w:after="0" w:line="252" w:lineRule="auto"/>
              <w:jc w:val="left"/>
            </w:pPr>
            <w:r>
              <w:rPr>
                <w:rFonts w:ascii="Calibri" w:hAnsi="Calibri"/>
                <w:color w:val="202833"/>
                <w:sz w:val="18"/>
              </w:rPr>
              <w:t>Token discovery and exact identity mapping may lag.</w:t>
            </w:r>
          </w:p>
        </w:tc>
      </w:tr>
    </w:tbl>
    <w:p>
      <w:pPr>
        <w:widowControl/>
        <w:spacing w:after="0"/>
      </w:pPr>
    </w:p>
    <w:p>
      <w:pPr>
        <w:pStyle w:val="Heading2"/>
        <w:keepNext/>
        <w:widowControl/>
      </w:pPr>
      <w:r>
        <w:t>17.1 Compatibility test suite</w:t>
      </w:r>
    </w:p>
    <w:p>
      <w:pPr>
        <w:widowControl/>
        <w:numPr>
          <w:ilvl w:val="0"/>
          <w:numId w:val="16"/>
        </w:numPr>
      </w:pPr>
      <w:r>
        <w:rPr>
          <w:rFonts w:ascii="Calibri" w:hAnsi="Calibri"/>
          <w:b/>
          <w:color w:val="202833"/>
        </w:rPr>
        <w:t xml:space="preserve">Version proof. </w:t>
      </w:r>
      <w:r>
        <w:rPr>
          <w:rFonts w:ascii="Calibri" w:hAnsi="Calibri"/>
          <w:color w:val="202833"/>
        </w:rPr>
        <w:t>Record the installed Rise version, store publisher, update date, browser/OS, and extension ID.</w:t>
      </w:r>
    </w:p>
    <w:p>
      <w:pPr>
        <w:widowControl/>
        <w:numPr>
          <w:ilvl w:val="0"/>
          <w:numId w:val="16"/>
        </w:numPr>
      </w:pPr>
      <w:r>
        <w:rPr>
          <w:rFonts w:ascii="Calibri" w:hAnsi="Calibri"/>
          <w:b/>
          <w:color w:val="202833"/>
        </w:rPr>
        <w:t xml:space="preserve">Account proof. </w:t>
      </w:r>
      <w:r>
        <w:rPr>
          <w:rFonts w:ascii="Calibri" w:hAnsi="Calibri"/>
          <w:color w:val="202833"/>
        </w:rPr>
        <w:t>Create a fresh low-value account and confirm its address in an independent explorer.</w:t>
      </w:r>
    </w:p>
    <w:p>
      <w:pPr>
        <w:widowControl/>
        <w:numPr>
          <w:ilvl w:val="0"/>
          <w:numId w:val="16"/>
        </w:numPr>
      </w:pPr>
      <w:r>
        <w:rPr>
          <w:rFonts w:ascii="Calibri" w:hAnsi="Calibri"/>
          <w:b/>
          <w:color w:val="202833"/>
        </w:rPr>
        <w:t xml:space="preserve">APT transfer. </w:t>
      </w:r>
      <w:r>
        <w:rPr>
          <w:rFonts w:ascii="Calibri" w:hAnsi="Calibri"/>
          <w:color w:val="202833"/>
        </w:rPr>
        <w:t>Receive and send a small APT amount, including fee reconciliation and sequence-number update.</w:t>
      </w:r>
    </w:p>
    <w:p>
      <w:pPr>
        <w:widowControl/>
        <w:numPr>
          <w:ilvl w:val="0"/>
          <w:numId w:val="16"/>
        </w:numPr>
      </w:pPr>
      <w:r>
        <w:rPr>
          <w:rFonts w:ascii="Calibri" w:hAnsi="Calibri"/>
          <w:b/>
          <w:color w:val="202833"/>
        </w:rPr>
        <w:t xml:space="preserve">Native FA transfer. </w:t>
      </w:r>
      <w:r>
        <w:rPr>
          <w:rFonts w:ascii="Calibri" w:hAnsi="Calibri"/>
          <w:color w:val="202833"/>
        </w:rPr>
        <w:t>Test a current issuer-verified USDC or USDt asset in a minimal amount.</w:t>
      </w:r>
    </w:p>
    <w:p>
      <w:pPr>
        <w:widowControl/>
        <w:numPr>
          <w:ilvl w:val="0"/>
          <w:numId w:val="16"/>
        </w:numPr>
      </w:pPr>
      <w:r>
        <w:rPr>
          <w:rFonts w:ascii="Calibri" w:hAnsi="Calibri"/>
          <w:b/>
          <w:color w:val="202833"/>
        </w:rPr>
        <w:t xml:space="preserve">Digital Asset test. </w:t>
      </w:r>
      <w:r>
        <w:rPr>
          <w:rFonts w:ascii="Calibri" w:hAnsi="Calibri"/>
          <w:color w:val="202833"/>
        </w:rPr>
        <w:t>Use a low-value modern DA and confirm gallery, details, send, and recipient ownership.</w:t>
      </w:r>
    </w:p>
    <w:p>
      <w:pPr>
        <w:widowControl/>
        <w:numPr>
          <w:ilvl w:val="0"/>
          <w:numId w:val="16"/>
        </w:numPr>
      </w:pPr>
      <w:r>
        <w:rPr>
          <w:rFonts w:ascii="Calibri" w:hAnsi="Calibri"/>
          <w:b/>
          <w:color w:val="202833"/>
        </w:rPr>
        <w:t xml:space="preserve">Modern dApp test. </w:t>
      </w:r>
      <w:r>
        <w:rPr>
          <w:rFonts w:ascii="Calibri" w:hAnsi="Calibri"/>
          <w:color w:val="202833"/>
        </w:rPr>
        <w:t>Check whether Rise is discovered through a current AIP-62 application and whether signing details are complete.</w:t>
      </w:r>
    </w:p>
    <w:p>
      <w:pPr>
        <w:widowControl/>
        <w:numPr>
          <w:ilvl w:val="0"/>
          <w:numId w:val="16"/>
        </w:numPr>
      </w:pPr>
      <w:r>
        <w:rPr>
          <w:rFonts w:ascii="Calibri" w:hAnsi="Calibri"/>
          <w:b/>
          <w:color w:val="202833"/>
        </w:rPr>
        <w:t xml:space="preserve">Simulation comparison. </w:t>
      </w:r>
      <w:r>
        <w:rPr>
          <w:rFonts w:ascii="Calibri" w:hAnsi="Calibri"/>
          <w:color w:val="202833"/>
        </w:rPr>
        <w:t>Compare Rise's preview with the full on-chain events and net balance changes.</w:t>
      </w:r>
    </w:p>
    <w:p>
      <w:pPr>
        <w:widowControl/>
        <w:numPr>
          <w:ilvl w:val="0"/>
          <w:numId w:val="16"/>
        </w:numPr>
      </w:pPr>
      <w:r>
        <w:rPr>
          <w:rFonts w:ascii="Calibri" w:hAnsi="Calibri"/>
          <w:b/>
          <w:color w:val="202833"/>
        </w:rPr>
        <w:t xml:space="preserve">Recovery proof. </w:t>
      </w:r>
      <w:r>
        <w:rPr>
          <w:rFonts w:ascii="Calibri" w:hAnsi="Calibri"/>
          <w:color w:val="202833"/>
        </w:rPr>
        <w:t>Restore the account in a maintained compatible wallet and sign a small transaction.</w:t>
      </w:r>
    </w:p>
    <w:p>
      <w:pPr>
        <w:widowControl/>
        <w:numPr>
          <w:ilvl w:val="0"/>
          <w:numId w:val="16"/>
        </w:numPr>
      </w:pPr>
      <w:r>
        <w:rPr>
          <w:rFonts w:ascii="Calibri" w:hAnsi="Calibri"/>
          <w:b/>
          <w:color w:val="202833"/>
        </w:rPr>
        <w:t xml:space="preserve">Failure-mode test. </w:t>
      </w:r>
      <w:r>
        <w:rPr>
          <w:rFonts w:ascii="Calibri" w:hAnsi="Calibri"/>
          <w:color w:val="202833"/>
        </w:rPr>
        <w:t>Observe behavior on expired, insufficient-gas, rejected-signature, and unsupported-asset cases without using valuable funds.</w:t>
      </w:r>
    </w:p>
    <w:p>
      <w:pPr>
        <w:pStyle w:val="Heading1"/>
        <w:keepNext/>
        <w:widowControl/>
      </w:pPr>
      <w:r>
        <w:t>18. Comparison with current Aptos wallet approaches</w:t>
      </w:r>
    </w:p>
    <w:p>
      <w:pPr>
        <w:widowControl/>
      </w:pPr>
      <w:r>
        <w:rPr>
          <w:rFonts w:ascii="Calibri" w:hAnsi="Calibri"/>
          <w:color w:val="202833"/>
        </w:rPr>
        <w:t>A wallet comparison should prioritize current maintenance, AIP-62 support, modern FA/DA indexing, transaction decoding, recovery interoperability, hardware or secure-account options, and transparent release history. Feature counts are secondary. The following comparison is architectural and does not certify any alternative product.</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780"/>
        <w:gridCol w:w="2730"/>
        <w:gridCol w:w="2740"/>
        <w:gridCol w:w="2110"/>
      </w:tblGrid>
      <w:tr>
        <w:trPr>
          <w:tblHeader w:val="true"/>
        </w:trPr>
        <w:tc>
          <w:tcPr>
            <w:tcW w:type="dxa" w:w="1780"/>
            <w:tcMar>
              <w:top w:w="80" w:type="dxa"/>
              <w:start w:w="120" w:type="dxa"/>
              <w:bottom w:w="80" w:type="dxa"/>
              <w:end w:w="120" w:type="dxa"/>
            </w:tcMar>
            <w:vAlign w:val="center"/>
            <w:shd w:fill="F2F4F7"/>
          </w:tcPr>
          <w:p>
            <w:pPr>
              <w:spacing w:after="0"/>
              <w:jc w:val="left"/>
            </w:pPr>
            <w:r>
              <w:rPr>
                <w:rFonts w:ascii="Calibri" w:hAnsi="Calibri"/>
                <w:b/>
                <w:color w:val="17365D"/>
                <w:sz w:val="19"/>
              </w:rPr>
              <w:t>Approach</w:t>
            </w:r>
          </w:p>
        </w:tc>
        <w:tc>
          <w:tcPr>
            <w:tcW w:type="dxa" w:w="2730"/>
            <w:tcMar>
              <w:top w:w="80" w:type="dxa"/>
              <w:start w:w="120" w:type="dxa"/>
              <w:bottom w:w="80" w:type="dxa"/>
              <w:end w:w="120" w:type="dxa"/>
            </w:tcMar>
            <w:vAlign w:val="center"/>
            <w:shd w:fill="F2F4F7"/>
          </w:tcPr>
          <w:p>
            <w:pPr>
              <w:spacing w:after="0"/>
              <w:jc w:val="left"/>
            </w:pPr>
            <w:r>
              <w:rPr>
                <w:rFonts w:ascii="Calibri" w:hAnsi="Calibri"/>
                <w:b/>
                <w:color w:val="17365D"/>
                <w:sz w:val="19"/>
              </w:rPr>
              <w:t>Strength</w:t>
            </w:r>
          </w:p>
        </w:tc>
        <w:tc>
          <w:tcPr>
            <w:tcW w:type="dxa" w:w="2740"/>
            <w:tcMar>
              <w:top w:w="80" w:type="dxa"/>
              <w:start w:w="120" w:type="dxa"/>
              <w:bottom w:w="80" w:type="dxa"/>
              <w:end w:w="120" w:type="dxa"/>
            </w:tcMar>
            <w:vAlign w:val="center"/>
            <w:shd w:fill="F2F4F7"/>
          </w:tcPr>
          <w:p>
            <w:pPr>
              <w:spacing w:after="0"/>
              <w:jc w:val="left"/>
            </w:pPr>
            <w:r>
              <w:rPr>
                <w:rFonts w:ascii="Calibri" w:hAnsi="Calibri"/>
                <w:b/>
                <w:color w:val="17365D"/>
                <w:sz w:val="19"/>
              </w:rPr>
              <w:t>Weakness</w:t>
            </w:r>
          </w:p>
        </w:tc>
        <w:tc>
          <w:tcPr>
            <w:tcW w:type="dxa" w:w="2110"/>
            <w:tcMar>
              <w:top w:w="80" w:type="dxa"/>
              <w:start w:w="120" w:type="dxa"/>
              <w:bottom w:w="80" w:type="dxa"/>
              <w:end w:w="120" w:type="dxa"/>
            </w:tcMar>
            <w:vAlign w:val="center"/>
            <w:shd w:fill="F2F4F7"/>
          </w:tcPr>
          <w:p>
            <w:pPr>
              <w:spacing w:after="0"/>
              <w:jc w:val="left"/>
            </w:pPr>
            <w:r>
              <w:rPr>
                <w:rFonts w:ascii="Calibri" w:hAnsi="Calibri"/>
                <w:b/>
                <w:color w:val="17365D"/>
                <w:sz w:val="19"/>
              </w:rPr>
              <w:t>Best use</w:t>
            </w:r>
          </w:p>
        </w:tc>
      </w:tr>
      <w:tr>
        <w:trPr>
          <w:cantSplit/>
        </w:trPr>
        <w:tc>
          <w:tcPr>
            <w:tcW w:type="dxa" w:w="1780"/>
            <w:shd w:fill="FBFCFD"/>
          </w:tcPr>
          <w:p>
            <w:pPr>
              <w:spacing w:after="0" w:line="252" w:lineRule="auto"/>
              <w:jc w:val="left"/>
            </w:pPr>
            <w:r>
              <w:rPr>
                <w:rFonts w:ascii="Calibri" w:hAnsi="Calibri"/>
                <w:color w:val="202833"/>
                <w:sz w:val="18"/>
              </w:rPr>
              <w:t>Rise</w:t>
            </w:r>
          </w:p>
        </w:tc>
        <w:tc>
          <w:tcPr>
            <w:tcW w:type="dxa" w:w="2730"/>
            <w:shd w:fill="FBFCFD"/>
          </w:tcPr>
          <w:p>
            <w:pPr>
              <w:spacing w:after="0" w:line="252" w:lineRule="auto"/>
              <w:jc w:val="left"/>
            </w:pPr>
            <w:r>
              <w:rPr>
                <w:rFonts w:ascii="Calibri" w:hAnsi="Calibri"/>
                <w:color w:val="202833"/>
                <w:sz w:val="18"/>
              </w:rPr>
              <w:t>Clean Aptos-focused UI; simulation, readable activity, mobile and extension design.</w:t>
            </w:r>
          </w:p>
        </w:tc>
        <w:tc>
          <w:tcPr>
            <w:tcW w:type="dxa" w:w="2740"/>
            <w:shd w:fill="FBFCFD"/>
          </w:tcPr>
          <w:p>
            <w:pPr>
              <w:spacing w:after="0" w:line="252" w:lineRule="auto"/>
              <w:jc w:val="left"/>
            </w:pPr>
            <w:r>
              <w:rPr>
                <w:rFonts w:ascii="Calibri" w:hAnsi="Calibri"/>
                <w:color w:val="202833"/>
                <w:sz w:val="18"/>
              </w:rPr>
              <w:t>Public releases/documentation verified as old; modern compatibility uncertain.</w:t>
            </w:r>
          </w:p>
        </w:tc>
        <w:tc>
          <w:tcPr>
            <w:tcW w:type="dxa" w:w="2110"/>
            <w:shd w:fill="FBFCFD"/>
          </w:tcPr>
          <w:p>
            <w:pPr>
              <w:spacing w:after="0" w:line="252" w:lineRule="auto"/>
              <w:jc w:val="left"/>
            </w:pPr>
            <w:r>
              <w:rPr>
                <w:rFonts w:ascii="Calibri" w:hAnsi="Calibri"/>
                <w:color w:val="202833"/>
                <w:sz w:val="18"/>
              </w:rPr>
              <w:t>Existing low-value accounts after comprehensive testing.</w:t>
            </w:r>
          </w:p>
        </w:tc>
      </w:tr>
      <w:tr>
        <w:trPr>
          <w:cantSplit/>
        </w:trPr>
        <w:tc>
          <w:tcPr>
            <w:tcW w:type="dxa" w:w="1780"/>
          </w:tcPr>
          <w:p>
            <w:pPr>
              <w:spacing w:after="0" w:line="252" w:lineRule="auto"/>
              <w:jc w:val="left"/>
            </w:pPr>
            <w:r>
              <w:rPr>
                <w:rFonts w:ascii="Calibri" w:hAnsi="Calibri"/>
                <w:color w:val="202833"/>
                <w:sz w:val="18"/>
              </w:rPr>
              <w:t>Currently maintained Aptos extension</w:t>
            </w:r>
          </w:p>
        </w:tc>
        <w:tc>
          <w:tcPr>
            <w:tcW w:type="dxa" w:w="2730"/>
          </w:tcPr>
          <w:p>
            <w:pPr>
              <w:spacing w:after="0" w:line="252" w:lineRule="auto"/>
              <w:jc w:val="left"/>
            </w:pPr>
            <w:r>
              <w:rPr>
                <w:rFonts w:ascii="Calibri" w:hAnsi="Calibri"/>
                <w:color w:val="202833"/>
                <w:sz w:val="18"/>
              </w:rPr>
              <w:t>Better chance of AIP-62, FA, DA, and current dApp support.</w:t>
            </w:r>
          </w:p>
        </w:tc>
        <w:tc>
          <w:tcPr>
            <w:tcW w:type="dxa" w:w="2740"/>
          </w:tcPr>
          <w:p>
            <w:pPr>
              <w:spacing w:after="0" w:line="252" w:lineRule="auto"/>
              <w:jc w:val="left"/>
            </w:pPr>
            <w:r>
              <w:rPr>
                <w:rFonts w:ascii="Calibri" w:hAnsi="Calibri"/>
                <w:color w:val="202833"/>
                <w:sz w:val="18"/>
              </w:rPr>
              <w:t>Still exposed to browser, extension, dApp, and software-key risks.</w:t>
            </w:r>
          </w:p>
        </w:tc>
        <w:tc>
          <w:tcPr>
            <w:tcW w:type="dxa" w:w="2110"/>
          </w:tcPr>
          <w:p>
            <w:pPr>
              <w:spacing w:after="0" w:line="252" w:lineRule="auto"/>
              <w:jc w:val="left"/>
            </w:pPr>
            <w:r>
              <w:rPr>
                <w:rFonts w:ascii="Calibri" w:hAnsi="Calibri"/>
                <w:color w:val="202833"/>
                <w:sz w:val="18"/>
              </w:rPr>
              <w:t>Routine dApps and modest hot-wallet balances.</w:t>
            </w:r>
          </w:p>
        </w:tc>
      </w:tr>
      <w:tr>
        <w:trPr>
          <w:cantSplit/>
        </w:trPr>
        <w:tc>
          <w:tcPr>
            <w:tcW w:type="dxa" w:w="1780"/>
            <w:shd w:fill="FBFCFD"/>
          </w:tcPr>
          <w:p>
            <w:pPr>
              <w:spacing w:after="0" w:line="252" w:lineRule="auto"/>
              <w:jc w:val="left"/>
            </w:pPr>
            <w:r>
              <w:rPr>
                <w:rFonts w:ascii="Calibri" w:hAnsi="Calibri"/>
                <w:color w:val="202833"/>
                <w:sz w:val="18"/>
              </w:rPr>
              <w:t>Maintained mobile Aptos wallet</w:t>
            </w:r>
          </w:p>
        </w:tc>
        <w:tc>
          <w:tcPr>
            <w:tcW w:type="dxa" w:w="2730"/>
            <w:shd w:fill="FBFCFD"/>
          </w:tcPr>
          <w:p>
            <w:pPr>
              <w:spacing w:after="0" w:line="252" w:lineRule="auto"/>
              <w:jc w:val="left"/>
            </w:pPr>
            <w:r>
              <w:rPr>
                <w:rFonts w:ascii="Calibri" w:hAnsi="Calibri"/>
                <w:color w:val="202833"/>
                <w:sz w:val="18"/>
              </w:rPr>
              <w:t>Isolated mobile UX, QR/deep-link flows, biometric device access.</w:t>
            </w:r>
          </w:p>
        </w:tc>
        <w:tc>
          <w:tcPr>
            <w:tcW w:type="dxa" w:w="2740"/>
            <w:shd w:fill="FBFCFD"/>
          </w:tcPr>
          <w:p>
            <w:pPr>
              <w:spacing w:after="0" w:line="252" w:lineRule="auto"/>
              <w:jc w:val="left"/>
            </w:pPr>
            <w:r>
              <w:rPr>
                <w:rFonts w:ascii="Calibri" w:hAnsi="Calibri"/>
                <w:color w:val="202833"/>
                <w:sz w:val="18"/>
              </w:rPr>
              <w:t>Phone compromise, cloud backup, in-app browser, and provider dependency.</w:t>
            </w:r>
          </w:p>
        </w:tc>
        <w:tc>
          <w:tcPr>
            <w:tcW w:type="dxa" w:w="2110"/>
            <w:shd w:fill="FBFCFD"/>
          </w:tcPr>
          <w:p>
            <w:pPr>
              <w:spacing w:after="0" w:line="252" w:lineRule="auto"/>
              <w:jc w:val="left"/>
            </w:pPr>
            <w:r>
              <w:rPr>
                <w:rFonts w:ascii="Calibri" w:hAnsi="Calibri"/>
                <w:color w:val="202833"/>
                <w:sz w:val="18"/>
              </w:rPr>
              <w:t>Payments and mobile interaction.</w:t>
            </w:r>
          </w:p>
        </w:tc>
      </w:tr>
      <w:tr>
        <w:trPr>
          <w:cantSplit/>
        </w:trPr>
        <w:tc>
          <w:tcPr>
            <w:tcW w:type="dxa" w:w="1780"/>
          </w:tcPr>
          <w:p>
            <w:pPr>
              <w:spacing w:after="0" w:line="252" w:lineRule="auto"/>
              <w:jc w:val="left"/>
            </w:pPr>
            <w:r>
              <w:rPr>
                <w:rFonts w:ascii="Calibri" w:hAnsi="Calibri"/>
                <w:color w:val="202833"/>
                <w:sz w:val="18"/>
              </w:rPr>
              <w:t>Hardware-backed account</w:t>
            </w:r>
          </w:p>
        </w:tc>
        <w:tc>
          <w:tcPr>
            <w:tcW w:type="dxa" w:w="2730"/>
          </w:tcPr>
          <w:p>
            <w:pPr>
              <w:spacing w:after="0" w:line="252" w:lineRule="auto"/>
              <w:jc w:val="left"/>
            </w:pPr>
            <w:r>
              <w:rPr>
                <w:rFonts w:ascii="Calibri" w:hAnsi="Calibri"/>
                <w:color w:val="202833"/>
                <w:sz w:val="18"/>
              </w:rPr>
              <w:t>Private key remains on a dedicated signing device.</w:t>
            </w:r>
          </w:p>
        </w:tc>
        <w:tc>
          <w:tcPr>
            <w:tcW w:type="dxa" w:w="2740"/>
          </w:tcPr>
          <w:p>
            <w:pPr>
              <w:spacing w:after="0" w:line="252" w:lineRule="auto"/>
              <w:jc w:val="left"/>
            </w:pPr>
            <w:r>
              <w:rPr>
                <w:rFonts w:ascii="Calibri" w:hAnsi="Calibri"/>
                <w:color w:val="202833"/>
                <w:sz w:val="18"/>
              </w:rPr>
              <w:t>App compatibility, device decoding, firmware, and recovery complexity.</w:t>
            </w:r>
          </w:p>
        </w:tc>
        <w:tc>
          <w:tcPr>
            <w:tcW w:type="dxa" w:w="2110"/>
          </w:tcPr>
          <w:p>
            <w:pPr>
              <w:spacing w:after="0" w:line="252" w:lineRule="auto"/>
              <w:jc w:val="left"/>
            </w:pPr>
            <w:r>
              <w:rPr>
                <w:rFonts w:ascii="Calibri" w:hAnsi="Calibri"/>
                <w:color w:val="202833"/>
                <w:sz w:val="18"/>
              </w:rPr>
              <w:t>Higher-value long-term holdings and controlled transactions.</w:t>
            </w:r>
          </w:p>
        </w:tc>
      </w:tr>
      <w:tr>
        <w:trPr>
          <w:cantSplit/>
        </w:trPr>
        <w:tc>
          <w:tcPr>
            <w:tcW w:type="dxa" w:w="1780"/>
            <w:shd w:fill="FBFCFD"/>
          </w:tcPr>
          <w:p>
            <w:pPr>
              <w:spacing w:after="0" w:line="252" w:lineRule="auto"/>
              <w:jc w:val="left"/>
            </w:pPr>
            <w:r>
              <w:rPr>
                <w:rFonts w:ascii="Calibri" w:hAnsi="Calibri"/>
                <w:color w:val="202833"/>
                <w:sz w:val="18"/>
              </w:rPr>
              <w:t>Multisig/managed account</w:t>
            </w:r>
          </w:p>
        </w:tc>
        <w:tc>
          <w:tcPr>
            <w:tcW w:type="dxa" w:w="2730"/>
            <w:shd w:fill="FBFCFD"/>
          </w:tcPr>
          <w:p>
            <w:pPr>
              <w:spacing w:after="0" w:line="252" w:lineRule="auto"/>
              <w:jc w:val="left"/>
            </w:pPr>
            <w:r>
              <w:rPr>
                <w:rFonts w:ascii="Calibri" w:hAnsi="Calibri"/>
                <w:color w:val="202833"/>
                <w:sz w:val="18"/>
              </w:rPr>
              <w:t>Multiple approvals and organizational controls.</w:t>
            </w:r>
          </w:p>
        </w:tc>
        <w:tc>
          <w:tcPr>
            <w:tcW w:type="dxa" w:w="2740"/>
            <w:shd w:fill="FBFCFD"/>
          </w:tcPr>
          <w:p>
            <w:pPr>
              <w:spacing w:after="0" w:line="252" w:lineRule="auto"/>
              <w:jc w:val="left"/>
            </w:pPr>
            <w:r>
              <w:rPr>
                <w:rFonts w:ascii="Calibri" w:hAnsi="Calibri"/>
                <w:color w:val="202833"/>
                <w:sz w:val="18"/>
              </w:rPr>
              <w:t>More operational complexity; wallet UI support may be limited.</w:t>
            </w:r>
          </w:p>
        </w:tc>
        <w:tc>
          <w:tcPr>
            <w:tcW w:type="dxa" w:w="2110"/>
            <w:shd w:fill="FBFCFD"/>
          </w:tcPr>
          <w:p>
            <w:pPr>
              <w:spacing w:after="0" w:line="252" w:lineRule="auto"/>
              <w:jc w:val="left"/>
            </w:pPr>
            <w:r>
              <w:rPr>
                <w:rFonts w:ascii="Calibri" w:hAnsi="Calibri"/>
                <w:color w:val="202833"/>
                <w:sz w:val="18"/>
              </w:rPr>
              <w:t>Teams, treasuries, and shared authority.</w:t>
            </w:r>
          </w:p>
        </w:tc>
      </w:tr>
      <w:tr>
        <w:trPr>
          <w:cantSplit/>
        </w:trPr>
        <w:tc>
          <w:tcPr>
            <w:tcW w:type="dxa" w:w="1780"/>
          </w:tcPr>
          <w:p>
            <w:pPr>
              <w:spacing w:after="0" w:line="252" w:lineRule="auto"/>
              <w:jc w:val="left"/>
            </w:pPr>
            <w:r>
              <w:rPr>
                <w:rFonts w:ascii="Calibri" w:hAnsi="Calibri"/>
                <w:color w:val="202833"/>
                <w:sz w:val="18"/>
              </w:rPr>
              <w:t>Watch-only portfolio</w:t>
            </w:r>
          </w:p>
        </w:tc>
        <w:tc>
          <w:tcPr>
            <w:tcW w:type="dxa" w:w="2730"/>
          </w:tcPr>
          <w:p>
            <w:pPr>
              <w:spacing w:after="0" w:line="252" w:lineRule="auto"/>
              <w:jc w:val="left"/>
            </w:pPr>
            <w:r>
              <w:rPr>
                <w:rFonts w:ascii="Calibri" w:hAnsi="Calibri"/>
                <w:color w:val="202833"/>
                <w:sz w:val="18"/>
              </w:rPr>
              <w:t>No signing secret in the monitoring interface.</w:t>
            </w:r>
          </w:p>
        </w:tc>
        <w:tc>
          <w:tcPr>
            <w:tcW w:type="dxa" w:w="2740"/>
          </w:tcPr>
          <w:p>
            <w:pPr>
              <w:spacing w:after="0" w:line="252" w:lineRule="auto"/>
              <w:jc w:val="left"/>
            </w:pPr>
            <w:r>
              <w:rPr>
                <w:rFonts w:ascii="Calibri" w:hAnsi="Calibri"/>
                <w:color w:val="202833"/>
                <w:sz w:val="18"/>
              </w:rPr>
              <w:t>Cannot transact; privacy still exposed to indexer/RPC.</w:t>
            </w:r>
          </w:p>
        </w:tc>
        <w:tc>
          <w:tcPr>
            <w:tcW w:type="dxa" w:w="2110"/>
          </w:tcPr>
          <w:p>
            <w:pPr>
              <w:spacing w:after="0" w:line="252" w:lineRule="auto"/>
              <w:jc w:val="left"/>
            </w:pPr>
            <w:r>
              <w:rPr>
                <w:rFonts w:ascii="Calibri" w:hAnsi="Calibri"/>
                <w:color w:val="202833"/>
                <w:sz w:val="18"/>
              </w:rPr>
              <w:t>Monitoring and migration reconnaissance.</w:t>
            </w:r>
          </w:p>
        </w:tc>
      </w:tr>
    </w:tbl>
    <w:p>
      <w:pPr>
        <w:widowControl/>
        <w:spacing w:after="0"/>
      </w:pPr>
    </w:p>
    <w:p>
      <w:pPr>
        <w:pStyle w:val="Heading2"/>
        <w:keepNext/>
        <w:widowControl/>
      </w:pPr>
      <w:r>
        <w:t>18.1 Selection criteria</w:t>
      </w:r>
    </w:p>
    <w:p>
      <w:pPr>
        <w:widowControl/>
        <w:numPr>
          <w:ilvl w:val="0"/>
          <w:numId w:val="10"/>
        </w:numPr>
      </w:pPr>
      <w:r>
        <w:rPr>
          <w:rFonts w:ascii="Calibri" w:hAnsi="Calibri"/>
          <w:b/>
          <w:color w:val="202833"/>
        </w:rPr>
        <w:t xml:space="preserve">Release cadence. </w:t>
      </w:r>
      <w:r>
        <w:rPr>
          <w:rFonts w:ascii="Calibri" w:hAnsi="Calibri"/>
          <w:color w:val="202833"/>
        </w:rPr>
        <w:t>Recent signed builds, changelogs, security fixes, and active store presence.</w:t>
      </w:r>
    </w:p>
    <w:p>
      <w:pPr>
        <w:widowControl/>
        <w:numPr>
          <w:ilvl w:val="0"/>
          <w:numId w:val="10"/>
        </w:numPr>
      </w:pPr>
      <w:r>
        <w:rPr>
          <w:rFonts w:ascii="Calibri" w:hAnsi="Calibri"/>
          <w:b/>
          <w:color w:val="202833"/>
        </w:rPr>
        <w:t xml:space="preserve">Modern standards. </w:t>
      </w:r>
      <w:r>
        <w:rPr>
          <w:rFonts w:ascii="Calibri" w:hAnsi="Calibri"/>
          <w:color w:val="202833"/>
        </w:rPr>
        <w:t>AIP-62 discovery, current FA/DFA, Coin migration, DA, and current account authenticators.</w:t>
      </w:r>
    </w:p>
    <w:p>
      <w:pPr>
        <w:widowControl/>
        <w:numPr>
          <w:ilvl w:val="0"/>
          <w:numId w:val="10"/>
        </w:numPr>
      </w:pPr>
      <w:r>
        <w:rPr>
          <w:rFonts w:ascii="Calibri" w:hAnsi="Calibri"/>
          <w:b/>
          <w:color w:val="202833"/>
        </w:rPr>
        <w:t xml:space="preserve">Recovery interoperability. </w:t>
      </w:r>
      <w:r>
        <w:rPr>
          <w:rFonts w:ascii="Calibri" w:hAnsi="Calibri"/>
          <w:color w:val="202833"/>
        </w:rPr>
        <w:t>Documented BIP-39/BIP-44 behavior, derivation paths, key rotation, and exportability.</w:t>
      </w:r>
    </w:p>
    <w:p>
      <w:pPr>
        <w:widowControl/>
        <w:numPr>
          <w:ilvl w:val="0"/>
          <w:numId w:val="10"/>
        </w:numPr>
      </w:pPr>
      <w:r>
        <w:rPr>
          <w:rFonts w:ascii="Calibri" w:hAnsi="Calibri"/>
          <w:b/>
          <w:color w:val="202833"/>
        </w:rPr>
        <w:t xml:space="preserve">Transaction transparency. </w:t>
      </w:r>
      <w:r>
        <w:rPr>
          <w:rFonts w:ascii="Calibri" w:hAnsi="Calibri"/>
          <w:color w:val="202833"/>
        </w:rPr>
        <w:t>Decoded Move call, every asset effect, gas, chain ID, dApp origin, and simulation.</w:t>
      </w:r>
    </w:p>
    <w:p>
      <w:pPr>
        <w:widowControl/>
        <w:numPr>
          <w:ilvl w:val="0"/>
          <w:numId w:val="10"/>
        </w:numPr>
      </w:pPr>
      <w:r>
        <w:rPr>
          <w:rFonts w:ascii="Calibri" w:hAnsi="Calibri"/>
          <w:b/>
          <w:color w:val="202833"/>
        </w:rPr>
        <w:t xml:space="preserve">Security options. </w:t>
      </w:r>
      <w:r>
        <w:rPr>
          <w:rFonts w:ascii="Calibri" w:hAnsi="Calibri"/>
          <w:color w:val="202833"/>
        </w:rPr>
        <w:t>Hardware support, multisig, address book, phishing defenses, account separation, and permission management.</w:t>
      </w:r>
    </w:p>
    <w:p>
      <w:pPr>
        <w:widowControl/>
        <w:numPr>
          <w:ilvl w:val="0"/>
          <w:numId w:val="10"/>
        </w:numPr>
      </w:pPr>
      <w:r>
        <w:rPr>
          <w:rFonts w:ascii="Calibri" w:hAnsi="Calibri"/>
          <w:b/>
          <w:color w:val="202833"/>
        </w:rPr>
        <w:t xml:space="preserve">Privacy. </w:t>
      </w:r>
      <w:r>
        <w:rPr>
          <w:rFonts w:ascii="Calibri" w:hAnsi="Calibri"/>
          <w:color w:val="202833"/>
        </w:rPr>
        <w:t>Clear data flows, endpoint controls, analytics declarations, notification design, and address handling.</w:t>
      </w:r>
    </w:p>
    <w:p>
      <w:pPr>
        <w:widowControl/>
        <w:numPr>
          <w:ilvl w:val="0"/>
          <w:numId w:val="10"/>
        </w:numPr>
      </w:pPr>
      <w:r>
        <w:rPr>
          <w:rFonts w:ascii="Calibri" w:hAnsi="Calibri"/>
          <w:b/>
          <w:color w:val="202833"/>
        </w:rPr>
        <w:t xml:space="preserve">Asset verification. </w:t>
      </w:r>
      <w:r>
        <w:rPr>
          <w:rFonts w:ascii="Calibri" w:hAnsi="Calibri"/>
          <w:color w:val="202833"/>
        </w:rPr>
        <w:t>Canonical identifiers, issuer labeling, warnings for bridged/synthetic assets, and custom-token controls.</w:t>
      </w:r>
    </w:p>
    <w:p>
      <w:pPr>
        <w:pStyle w:val="Heading1"/>
        <w:keepNext/>
        <w:widowControl/>
      </w:pPr>
      <w:r>
        <w:t>19. Suitability by user profile</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850"/>
        <w:gridCol w:w="1830"/>
        <w:gridCol w:w="5680"/>
      </w:tblGrid>
      <w:tr>
        <w:trPr>
          <w:tblHeader w:val="true"/>
        </w:trPr>
        <w:tc>
          <w:tcPr>
            <w:tcW w:type="dxa" w:w="1850"/>
            <w:tcMar>
              <w:top w:w="80" w:type="dxa"/>
              <w:start w:w="120" w:type="dxa"/>
              <w:bottom w:w="80" w:type="dxa"/>
              <w:end w:w="120" w:type="dxa"/>
            </w:tcMar>
            <w:vAlign w:val="center"/>
            <w:shd w:fill="F2F4F7"/>
          </w:tcPr>
          <w:p>
            <w:pPr>
              <w:spacing w:after="0"/>
              <w:jc w:val="left"/>
            </w:pPr>
            <w:r>
              <w:rPr>
                <w:rFonts w:ascii="Calibri" w:hAnsi="Calibri"/>
                <w:b/>
                <w:color w:val="17365D"/>
                <w:sz w:val="19"/>
              </w:rPr>
              <w:t>User profile</w:t>
            </w:r>
          </w:p>
        </w:tc>
        <w:tc>
          <w:tcPr>
            <w:tcW w:type="dxa" w:w="1830"/>
            <w:tcMar>
              <w:top w:w="80" w:type="dxa"/>
              <w:start w:w="120" w:type="dxa"/>
              <w:bottom w:w="80" w:type="dxa"/>
              <w:end w:w="120" w:type="dxa"/>
            </w:tcMar>
            <w:vAlign w:val="center"/>
            <w:shd w:fill="F2F4F7"/>
          </w:tcPr>
          <w:p>
            <w:pPr>
              <w:spacing w:after="0"/>
              <w:jc w:val="left"/>
            </w:pPr>
            <w:r>
              <w:rPr>
                <w:rFonts w:ascii="Calibri" w:hAnsi="Calibri"/>
                <w:b/>
                <w:color w:val="17365D"/>
                <w:sz w:val="19"/>
              </w:rPr>
              <w:t>Suitability of Rise</w:t>
            </w:r>
          </w:p>
        </w:tc>
        <w:tc>
          <w:tcPr>
            <w:tcW w:type="dxa" w:w="5680"/>
            <w:tcMar>
              <w:top w:w="80" w:type="dxa"/>
              <w:start w:w="120" w:type="dxa"/>
              <w:bottom w:w="80" w:type="dxa"/>
              <w:end w:w="120" w:type="dxa"/>
            </w:tcMar>
            <w:vAlign w:val="center"/>
            <w:shd w:fill="F2F4F7"/>
          </w:tcPr>
          <w:p>
            <w:pPr>
              <w:spacing w:after="0"/>
              <w:jc w:val="left"/>
            </w:pPr>
            <w:r>
              <w:rPr>
                <w:rFonts w:ascii="Calibri" w:hAnsi="Calibri"/>
                <w:b/>
                <w:color w:val="17365D"/>
                <w:sz w:val="19"/>
              </w:rPr>
              <w:t>Reasoned guidance</w:t>
            </w:r>
          </w:p>
        </w:tc>
      </w:tr>
      <w:tr>
        <w:trPr>
          <w:cantSplit/>
        </w:trPr>
        <w:tc>
          <w:tcPr>
            <w:tcW w:type="dxa" w:w="1850"/>
            <w:shd w:fill="FBFCFD"/>
          </w:tcPr>
          <w:p>
            <w:pPr>
              <w:spacing w:after="0" w:line="252" w:lineRule="auto"/>
              <w:jc w:val="left"/>
            </w:pPr>
            <w:r>
              <w:rPr>
                <w:rFonts w:ascii="Calibri" w:hAnsi="Calibri"/>
                <w:color w:val="202833"/>
                <w:sz w:val="18"/>
              </w:rPr>
              <w:t>New Aptos user</w:t>
            </w:r>
          </w:p>
        </w:tc>
        <w:tc>
          <w:tcPr>
            <w:tcW w:type="dxa" w:w="1830"/>
            <w:shd w:fill="FBFCFD"/>
          </w:tcPr>
          <w:p>
            <w:pPr>
              <w:spacing w:after="0" w:line="252" w:lineRule="auto"/>
              <w:jc w:val="left"/>
            </w:pPr>
            <w:r>
              <w:rPr>
                <w:rFonts w:ascii="Calibri" w:hAnsi="Calibri"/>
                <w:color w:val="202833"/>
                <w:sz w:val="18"/>
              </w:rPr>
              <w:t>Low to moderate</w:t>
            </w:r>
          </w:p>
        </w:tc>
        <w:tc>
          <w:tcPr>
            <w:tcW w:type="dxa" w:w="5680"/>
            <w:shd w:fill="FBFCFD"/>
          </w:tcPr>
          <w:p>
            <w:pPr>
              <w:spacing w:after="0" w:line="252" w:lineRule="auto"/>
              <w:jc w:val="left"/>
            </w:pPr>
            <w:r>
              <w:rPr>
                <w:rFonts w:ascii="Calibri" w:hAnsi="Calibri"/>
                <w:color w:val="202833"/>
                <w:sz w:val="18"/>
              </w:rPr>
              <w:t>The interface may be simple, but an old release is a poor place to learn current standards without supervision.</w:t>
            </w:r>
          </w:p>
        </w:tc>
      </w:tr>
      <w:tr>
        <w:trPr>
          <w:cantSplit/>
        </w:trPr>
        <w:tc>
          <w:tcPr>
            <w:tcW w:type="dxa" w:w="1850"/>
          </w:tcPr>
          <w:p>
            <w:pPr>
              <w:spacing w:after="0" w:line="252" w:lineRule="auto"/>
              <w:jc w:val="left"/>
            </w:pPr>
            <w:r>
              <w:rPr>
                <w:rFonts w:ascii="Calibri" w:hAnsi="Calibri"/>
                <w:color w:val="202833"/>
                <w:sz w:val="18"/>
              </w:rPr>
              <w:t>Existing Rise user</w:t>
            </w:r>
          </w:p>
        </w:tc>
        <w:tc>
          <w:tcPr>
            <w:tcW w:type="dxa" w:w="1830"/>
          </w:tcPr>
          <w:p>
            <w:pPr>
              <w:spacing w:after="0" w:line="252" w:lineRule="auto"/>
              <w:jc w:val="left"/>
            </w:pPr>
            <w:r>
              <w:rPr>
                <w:rFonts w:ascii="Calibri" w:hAnsi="Calibri"/>
                <w:color w:val="202833"/>
                <w:sz w:val="18"/>
              </w:rPr>
              <w:t>Conditional</w:t>
            </w:r>
          </w:p>
        </w:tc>
        <w:tc>
          <w:tcPr>
            <w:tcW w:type="dxa" w:w="5680"/>
          </w:tcPr>
          <w:p>
            <w:pPr>
              <w:spacing w:after="0" w:line="252" w:lineRule="auto"/>
              <w:jc w:val="left"/>
            </w:pPr>
            <w:r>
              <w:rPr>
                <w:rFonts w:ascii="Calibri" w:hAnsi="Calibri"/>
                <w:color w:val="202833"/>
                <w:sz w:val="18"/>
              </w:rPr>
              <w:t>Retain access only after backup, migration, current asset, and dApp compatibility tests.</w:t>
            </w:r>
          </w:p>
        </w:tc>
      </w:tr>
      <w:tr>
        <w:trPr>
          <w:cantSplit/>
        </w:trPr>
        <w:tc>
          <w:tcPr>
            <w:tcW w:type="dxa" w:w="1850"/>
            <w:shd w:fill="FBFCFD"/>
          </w:tcPr>
          <w:p>
            <w:pPr>
              <w:spacing w:after="0" w:line="252" w:lineRule="auto"/>
              <w:jc w:val="left"/>
            </w:pPr>
            <w:r>
              <w:rPr>
                <w:rFonts w:ascii="Calibri" w:hAnsi="Calibri"/>
                <w:color w:val="202833"/>
                <w:sz w:val="18"/>
              </w:rPr>
              <w:t>Daily low-value dApp user</w:t>
            </w:r>
          </w:p>
        </w:tc>
        <w:tc>
          <w:tcPr>
            <w:tcW w:type="dxa" w:w="1830"/>
            <w:shd w:fill="FBFCFD"/>
          </w:tcPr>
          <w:p>
            <w:pPr>
              <w:spacing w:after="0" w:line="252" w:lineRule="auto"/>
              <w:jc w:val="left"/>
            </w:pPr>
            <w:r>
              <w:rPr>
                <w:rFonts w:ascii="Calibri" w:hAnsi="Calibri"/>
                <w:color w:val="202833"/>
                <w:sz w:val="18"/>
              </w:rPr>
              <w:t>Conditional</w:t>
            </w:r>
          </w:p>
        </w:tc>
        <w:tc>
          <w:tcPr>
            <w:tcW w:type="dxa" w:w="5680"/>
            <w:shd w:fill="FBFCFD"/>
          </w:tcPr>
          <w:p>
            <w:pPr>
              <w:spacing w:after="0" w:line="252" w:lineRule="auto"/>
              <w:jc w:val="left"/>
            </w:pPr>
            <w:r>
              <w:rPr>
                <w:rFonts w:ascii="Calibri" w:hAnsi="Calibri"/>
                <w:color w:val="202833"/>
                <w:sz w:val="18"/>
              </w:rPr>
              <w:t>Use a separate account, small balance, dedicated browser profile, and only tested dApps.</w:t>
            </w:r>
          </w:p>
        </w:tc>
      </w:tr>
      <w:tr>
        <w:trPr>
          <w:cantSplit/>
        </w:trPr>
        <w:tc>
          <w:tcPr>
            <w:tcW w:type="dxa" w:w="1850"/>
          </w:tcPr>
          <w:p>
            <w:pPr>
              <w:spacing w:after="0" w:line="252" w:lineRule="auto"/>
              <w:jc w:val="left"/>
            </w:pPr>
            <w:r>
              <w:rPr>
                <w:rFonts w:ascii="Calibri" w:hAnsi="Calibri"/>
                <w:color w:val="202833"/>
                <w:sz w:val="18"/>
              </w:rPr>
              <w:t>Long-term APT holder</w:t>
            </w:r>
          </w:p>
        </w:tc>
        <w:tc>
          <w:tcPr>
            <w:tcW w:type="dxa" w:w="1830"/>
          </w:tcPr>
          <w:p>
            <w:pPr>
              <w:spacing w:after="0" w:line="252" w:lineRule="auto"/>
              <w:jc w:val="left"/>
            </w:pPr>
            <w:r>
              <w:rPr>
                <w:rFonts w:ascii="Calibri" w:hAnsi="Calibri"/>
                <w:color w:val="202833"/>
                <w:sz w:val="18"/>
              </w:rPr>
              <w:t>Low</w:t>
            </w:r>
          </w:p>
        </w:tc>
        <w:tc>
          <w:tcPr>
            <w:tcW w:type="dxa" w:w="5680"/>
          </w:tcPr>
          <w:p>
            <w:pPr>
              <w:spacing w:after="0" w:line="252" w:lineRule="auto"/>
              <w:jc w:val="left"/>
            </w:pPr>
            <w:r>
              <w:rPr>
                <w:rFonts w:ascii="Calibri" w:hAnsi="Calibri"/>
                <w:color w:val="202833"/>
                <w:sz w:val="18"/>
              </w:rPr>
              <w:t>Prefer a currently maintained and preferably hardware-backed solution with proven recovery.</w:t>
            </w:r>
          </w:p>
        </w:tc>
      </w:tr>
      <w:tr>
        <w:trPr>
          <w:cantSplit/>
        </w:trPr>
        <w:tc>
          <w:tcPr>
            <w:tcW w:type="dxa" w:w="1850"/>
            <w:shd w:fill="FBFCFD"/>
          </w:tcPr>
          <w:p>
            <w:pPr>
              <w:spacing w:after="0" w:line="252" w:lineRule="auto"/>
              <w:jc w:val="left"/>
            </w:pPr>
            <w:r>
              <w:rPr>
                <w:rFonts w:ascii="Calibri" w:hAnsi="Calibri"/>
                <w:color w:val="202833"/>
                <w:sz w:val="18"/>
              </w:rPr>
              <w:t>Stablecoin user</w:t>
            </w:r>
          </w:p>
        </w:tc>
        <w:tc>
          <w:tcPr>
            <w:tcW w:type="dxa" w:w="1830"/>
            <w:shd w:fill="FBFCFD"/>
          </w:tcPr>
          <w:p>
            <w:pPr>
              <w:spacing w:after="0" w:line="252" w:lineRule="auto"/>
              <w:jc w:val="left"/>
            </w:pPr>
            <w:r>
              <w:rPr>
                <w:rFonts w:ascii="Calibri" w:hAnsi="Calibri"/>
                <w:color w:val="202833"/>
                <w:sz w:val="18"/>
              </w:rPr>
              <w:t>Low until tested</w:t>
            </w:r>
          </w:p>
        </w:tc>
        <w:tc>
          <w:tcPr>
            <w:tcW w:type="dxa" w:w="5680"/>
            <w:shd w:fill="FBFCFD"/>
          </w:tcPr>
          <w:p>
            <w:pPr>
              <w:spacing w:after="0" w:line="252" w:lineRule="auto"/>
              <w:jc w:val="left"/>
            </w:pPr>
            <w:r>
              <w:rPr>
                <w:rFonts w:ascii="Calibri" w:hAnsi="Calibri"/>
                <w:color w:val="202833"/>
                <w:sz w:val="18"/>
              </w:rPr>
              <w:t>Native USDC/USDt arrived after Rise's public release period; exact identifier and FA support are essential.</w:t>
            </w:r>
          </w:p>
        </w:tc>
      </w:tr>
      <w:tr>
        <w:trPr>
          <w:cantSplit/>
        </w:trPr>
        <w:tc>
          <w:tcPr>
            <w:tcW w:type="dxa" w:w="1850"/>
          </w:tcPr>
          <w:p>
            <w:pPr>
              <w:spacing w:after="0" w:line="252" w:lineRule="auto"/>
              <w:jc w:val="left"/>
            </w:pPr>
            <w:r>
              <w:rPr>
                <w:rFonts w:ascii="Calibri" w:hAnsi="Calibri"/>
                <w:color w:val="202833"/>
                <w:sz w:val="18"/>
              </w:rPr>
              <w:t>NFT collector</w:t>
            </w:r>
          </w:p>
        </w:tc>
        <w:tc>
          <w:tcPr>
            <w:tcW w:type="dxa" w:w="1830"/>
          </w:tcPr>
          <w:p>
            <w:pPr>
              <w:spacing w:after="0" w:line="252" w:lineRule="auto"/>
              <w:jc w:val="left"/>
            </w:pPr>
            <w:r>
              <w:rPr>
                <w:rFonts w:ascii="Calibri" w:hAnsi="Calibri"/>
                <w:color w:val="202833"/>
                <w:sz w:val="18"/>
              </w:rPr>
              <w:t>Low until DA tests pass</w:t>
            </w:r>
          </w:p>
        </w:tc>
        <w:tc>
          <w:tcPr>
            <w:tcW w:type="dxa" w:w="5680"/>
          </w:tcPr>
          <w:p>
            <w:pPr>
              <w:spacing w:after="0" w:line="252" w:lineRule="auto"/>
              <w:jc w:val="left"/>
            </w:pPr>
            <w:r>
              <w:rPr>
                <w:rFonts w:ascii="Calibri" w:hAnsi="Calibri"/>
                <w:color w:val="202833"/>
                <w:sz w:val="18"/>
              </w:rPr>
              <w:t>Modern object-based Digital Assets may not render or transfer correctly in a legacy gallery.</w:t>
            </w:r>
          </w:p>
        </w:tc>
      </w:tr>
      <w:tr>
        <w:trPr>
          <w:cantSplit/>
        </w:trPr>
        <w:tc>
          <w:tcPr>
            <w:tcW w:type="dxa" w:w="1850"/>
            <w:shd w:fill="FBFCFD"/>
          </w:tcPr>
          <w:p>
            <w:pPr>
              <w:spacing w:after="0" w:line="252" w:lineRule="auto"/>
              <w:jc w:val="left"/>
            </w:pPr>
            <w:r>
              <w:rPr>
                <w:rFonts w:ascii="Calibri" w:hAnsi="Calibri"/>
                <w:color w:val="202833"/>
                <w:sz w:val="18"/>
              </w:rPr>
              <w:t>DeFi or liquid-staking user</w:t>
            </w:r>
          </w:p>
        </w:tc>
        <w:tc>
          <w:tcPr>
            <w:tcW w:type="dxa" w:w="1830"/>
            <w:shd w:fill="FBFCFD"/>
          </w:tcPr>
          <w:p>
            <w:pPr>
              <w:spacing w:after="0" w:line="252" w:lineRule="auto"/>
              <w:jc w:val="left"/>
            </w:pPr>
            <w:r>
              <w:rPr>
                <w:rFonts w:ascii="Calibri" w:hAnsi="Calibri"/>
                <w:color w:val="202833"/>
                <w:sz w:val="18"/>
              </w:rPr>
              <w:t>Low to conditional</w:t>
            </w:r>
          </w:p>
        </w:tc>
        <w:tc>
          <w:tcPr>
            <w:tcW w:type="dxa" w:w="5680"/>
            <w:shd w:fill="FBFCFD"/>
          </w:tcPr>
          <w:p>
            <w:pPr>
              <w:spacing w:after="0" w:line="252" w:lineRule="auto"/>
              <w:jc w:val="left"/>
            </w:pPr>
            <w:r>
              <w:rPr>
                <w:rFonts w:ascii="Calibri" w:hAnsi="Calibri"/>
                <w:color w:val="202833"/>
                <w:sz w:val="18"/>
              </w:rPr>
              <w:t>Complex modern tokens, contracts, and withdrawal paths require current decoding and indexers.</w:t>
            </w:r>
          </w:p>
        </w:tc>
      </w:tr>
      <w:tr>
        <w:trPr>
          <w:cantSplit/>
        </w:trPr>
        <w:tc>
          <w:tcPr>
            <w:tcW w:type="dxa" w:w="1850"/>
          </w:tcPr>
          <w:p>
            <w:pPr>
              <w:spacing w:after="0" w:line="252" w:lineRule="auto"/>
              <w:jc w:val="left"/>
            </w:pPr>
            <w:r>
              <w:rPr>
                <w:rFonts w:ascii="Calibri" w:hAnsi="Calibri"/>
                <w:color w:val="202833"/>
                <w:sz w:val="18"/>
              </w:rPr>
              <w:t>Business treasury</w:t>
            </w:r>
          </w:p>
        </w:tc>
        <w:tc>
          <w:tcPr>
            <w:tcW w:type="dxa" w:w="1830"/>
          </w:tcPr>
          <w:p>
            <w:pPr>
              <w:spacing w:after="0" w:line="252" w:lineRule="auto"/>
              <w:jc w:val="left"/>
            </w:pPr>
            <w:r>
              <w:rPr>
                <w:rFonts w:ascii="Calibri" w:hAnsi="Calibri"/>
                <w:color w:val="202833"/>
                <w:sz w:val="18"/>
              </w:rPr>
              <w:t>Not recommended as sole control</w:t>
            </w:r>
          </w:p>
        </w:tc>
        <w:tc>
          <w:tcPr>
            <w:tcW w:type="dxa" w:w="5680"/>
          </w:tcPr>
          <w:p>
            <w:pPr>
              <w:spacing w:after="0" w:line="252" w:lineRule="auto"/>
              <w:jc w:val="left"/>
            </w:pPr>
            <w:r>
              <w:rPr>
                <w:rFonts w:ascii="Calibri" w:hAnsi="Calibri"/>
                <w:color w:val="202833"/>
                <w:sz w:val="18"/>
              </w:rPr>
              <w:t>Needs role separation, multisig/hardware policy, audit records, current maintenance, and incident response.</w:t>
            </w:r>
          </w:p>
        </w:tc>
      </w:tr>
      <w:tr>
        <w:trPr>
          <w:cantSplit/>
        </w:trPr>
        <w:tc>
          <w:tcPr>
            <w:tcW w:type="dxa" w:w="1850"/>
            <w:shd w:fill="FBFCFD"/>
          </w:tcPr>
          <w:p>
            <w:pPr>
              <w:spacing w:after="0" w:line="252" w:lineRule="auto"/>
              <w:jc w:val="left"/>
            </w:pPr>
            <w:r>
              <w:rPr>
                <w:rFonts w:ascii="Calibri" w:hAnsi="Calibri"/>
                <w:color w:val="202833"/>
                <w:sz w:val="18"/>
              </w:rPr>
              <w:t>Developer</w:t>
            </w:r>
          </w:p>
        </w:tc>
        <w:tc>
          <w:tcPr>
            <w:tcW w:type="dxa" w:w="1830"/>
            <w:shd w:fill="FBFCFD"/>
          </w:tcPr>
          <w:p>
            <w:pPr>
              <w:spacing w:after="0" w:line="252" w:lineRule="auto"/>
              <w:jc w:val="left"/>
            </w:pPr>
            <w:r>
              <w:rPr>
                <w:rFonts w:ascii="Calibri" w:hAnsi="Calibri"/>
                <w:color w:val="202833"/>
                <w:sz w:val="18"/>
              </w:rPr>
              <w:t>Legacy integration reference only</w:t>
            </w:r>
          </w:p>
        </w:tc>
        <w:tc>
          <w:tcPr>
            <w:tcW w:type="dxa" w:w="5680"/>
            <w:shd w:fill="FBFCFD"/>
          </w:tcPr>
          <w:p>
            <w:pPr>
              <w:spacing w:after="0" w:line="252" w:lineRule="auto"/>
              <w:jc w:val="left"/>
            </w:pPr>
            <w:r>
              <w:rPr>
                <w:rFonts w:ascii="Calibri" w:hAnsi="Calibri"/>
                <w:color w:val="202833"/>
                <w:sz w:val="18"/>
              </w:rPr>
              <w:t>Rise docs illustrate older interfaces; build new dApps against current AIP-62 standards. [22][23]</w:t>
            </w:r>
          </w:p>
        </w:tc>
      </w:tr>
    </w:tbl>
    <w:p>
      <w:pPr>
        <w:widowControl/>
        <w:spacing w:after="0"/>
      </w:pPr>
    </w:p>
    <w:p>
      <w:pPr>
        <w:pStyle w:val="Heading1"/>
        <w:keepNext/>
        <w:pageBreakBefore/>
        <w:widowControl/>
      </w:pPr>
      <w:r>
        <w:t>20. Advanced operational runbook</w:t>
      </w:r>
    </w:p>
    <w:p>
      <w:pPr>
        <w:pStyle w:val="Heading2"/>
        <w:keepNext/>
        <w:widowControl/>
      </w:pPr>
      <w:r>
        <w:t>20.1 One-time secure setup</w:t>
      </w:r>
    </w:p>
    <w:p>
      <w:pPr>
        <w:widowControl/>
        <w:numPr>
          <w:ilvl w:val="0"/>
          <w:numId w:val="17"/>
        </w:numPr>
      </w:pPr>
      <w:r>
        <w:rPr>
          <w:rFonts w:ascii="Calibri" w:hAnsi="Calibri"/>
          <w:b/>
          <w:color w:val="202833"/>
        </w:rPr>
        <w:t xml:space="preserve">Choose the wallet role. </w:t>
      </w:r>
      <w:r>
        <w:rPr>
          <w:rFonts w:ascii="Calibri" w:hAnsi="Calibri"/>
          <w:color w:val="202833"/>
        </w:rPr>
        <w:t>Define whether Rise will be a low-value dApp wallet, recovery bridge, watch-only interface, or temporary migration tool.</w:t>
      </w:r>
    </w:p>
    <w:p>
      <w:pPr>
        <w:widowControl/>
        <w:numPr>
          <w:ilvl w:val="0"/>
          <w:numId w:val="17"/>
        </w:numPr>
      </w:pPr>
      <w:r>
        <w:rPr>
          <w:rFonts w:ascii="Calibri" w:hAnsi="Calibri"/>
          <w:b/>
          <w:color w:val="202833"/>
        </w:rPr>
        <w:t xml:space="preserve">Verify authentic software. </w:t>
      </w:r>
      <w:r>
        <w:rPr>
          <w:rFonts w:ascii="Calibri" w:hAnsi="Calibri"/>
          <w:color w:val="202833"/>
        </w:rPr>
        <w:t>Use the canonical website/store and record publisher, version, extension ID, permissions, and update date.</w:t>
      </w:r>
    </w:p>
    <w:p>
      <w:pPr>
        <w:widowControl/>
        <w:numPr>
          <w:ilvl w:val="0"/>
          <w:numId w:val="17"/>
        </w:numPr>
      </w:pPr>
      <w:r>
        <w:rPr>
          <w:rFonts w:ascii="Calibri" w:hAnsi="Calibri"/>
          <w:b/>
          <w:color w:val="202833"/>
        </w:rPr>
        <w:t xml:space="preserve">Harden the environment. </w:t>
      </w:r>
      <w:r>
        <w:rPr>
          <w:rFonts w:ascii="Calibri" w:hAnsi="Calibri"/>
          <w:color w:val="202833"/>
        </w:rPr>
        <w:t>Patch OS/browser, enable disk encryption and strong login, remove unneeded extensions, and create a dedicated profile.</w:t>
      </w:r>
    </w:p>
    <w:p>
      <w:pPr>
        <w:widowControl/>
        <w:numPr>
          <w:ilvl w:val="0"/>
          <w:numId w:val="17"/>
        </w:numPr>
      </w:pPr>
      <w:r>
        <w:rPr>
          <w:rFonts w:ascii="Calibri" w:hAnsi="Calibri"/>
          <w:b/>
          <w:color w:val="202833"/>
        </w:rPr>
        <w:t xml:space="preserve">Create or import securely. </w:t>
      </w:r>
      <w:r>
        <w:rPr>
          <w:rFonts w:ascii="Calibri" w:hAnsi="Calibri"/>
          <w:color w:val="202833"/>
        </w:rPr>
        <w:t>Prevent cameras, screen capture, remote support, clipboard synchronization, and cloud notes.</w:t>
      </w:r>
    </w:p>
    <w:p>
      <w:pPr>
        <w:widowControl/>
        <w:numPr>
          <w:ilvl w:val="0"/>
          <w:numId w:val="17"/>
        </w:numPr>
      </w:pPr>
      <w:r>
        <w:rPr>
          <w:rFonts w:ascii="Calibri" w:hAnsi="Calibri"/>
          <w:b/>
          <w:color w:val="202833"/>
        </w:rPr>
        <w:t xml:space="preserve">Build redundant offline backup. </w:t>
      </w:r>
      <w:r>
        <w:rPr>
          <w:rFonts w:ascii="Calibri" w:hAnsi="Calibri"/>
          <w:color w:val="202833"/>
        </w:rPr>
        <w:t>Use two physical copies in separate secure locations; consider tamper evidence and disaster resilience.</w:t>
      </w:r>
    </w:p>
    <w:p>
      <w:pPr>
        <w:widowControl/>
        <w:numPr>
          <w:ilvl w:val="0"/>
          <w:numId w:val="17"/>
        </w:numPr>
      </w:pPr>
      <w:r>
        <w:rPr>
          <w:rFonts w:ascii="Calibri" w:hAnsi="Calibri"/>
          <w:b/>
          <w:color w:val="202833"/>
        </w:rPr>
        <w:t xml:space="preserve">Inventory addresses. </w:t>
      </w:r>
      <w:r>
        <w:rPr>
          <w:rFonts w:ascii="Calibri" w:hAnsi="Calibri"/>
          <w:color w:val="202833"/>
        </w:rPr>
        <w:t>Record every derived account, intended role, derivation index, and current authentication status.</w:t>
      </w:r>
    </w:p>
    <w:p>
      <w:pPr>
        <w:widowControl/>
        <w:numPr>
          <w:ilvl w:val="0"/>
          <w:numId w:val="17"/>
        </w:numPr>
      </w:pPr>
      <w:r>
        <w:rPr>
          <w:rFonts w:ascii="Calibri" w:hAnsi="Calibri"/>
          <w:b/>
          <w:color w:val="202833"/>
        </w:rPr>
        <w:t xml:space="preserve">Test recovery and current standards. </w:t>
      </w:r>
      <w:r>
        <w:rPr>
          <w:rFonts w:ascii="Calibri" w:hAnsi="Calibri"/>
          <w:color w:val="202833"/>
        </w:rPr>
        <w:t>Restore independently and complete the APT/FA/DA/dApp compatibility suite.</w:t>
      </w:r>
    </w:p>
    <w:p>
      <w:pPr>
        <w:widowControl/>
        <w:numPr>
          <w:ilvl w:val="0"/>
          <w:numId w:val="17"/>
        </w:numPr>
      </w:pPr>
      <w:r>
        <w:rPr>
          <w:rFonts w:ascii="Calibri" w:hAnsi="Calibri"/>
          <w:b/>
          <w:color w:val="202833"/>
        </w:rPr>
        <w:t xml:space="preserve">Set exposure limits. </w:t>
      </w:r>
      <w:r>
        <w:rPr>
          <w:rFonts w:ascii="Calibri" w:hAnsi="Calibri"/>
          <w:color w:val="202833"/>
        </w:rPr>
        <w:t>Define maximum wallet balance, transaction size, approved dApps, and escalation requirements.</w:t>
      </w:r>
    </w:p>
    <w:p>
      <w:pPr>
        <w:pStyle w:val="Heading2"/>
        <w:keepNext/>
        <w:widowControl/>
      </w:pPr>
      <w:r>
        <w:t>20.2 Pre-transaction checklist</w:t>
      </w:r>
    </w:p>
    <w:p>
      <w:pPr>
        <w:widowControl/>
        <w:numPr>
          <w:ilvl w:val="0"/>
          <w:numId w:val="10"/>
        </w:numPr>
      </w:pPr>
      <w:r>
        <w:rPr>
          <w:rFonts w:ascii="Calibri" w:hAnsi="Calibri"/>
          <w:b/>
          <w:color w:val="202833"/>
        </w:rPr>
        <w:t xml:space="preserve">Authentic interface. </w:t>
      </w:r>
      <w:r>
        <w:rPr>
          <w:rFonts w:ascii="Calibri" w:hAnsi="Calibri"/>
          <w:color w:val="202833"/>
        </w:rPr>
        <w:t>Correct application, extension ID, domain, and no unsolicited update/recovery prompt.</w:t>
      </w:r>
    </w:p>
    <w:p>
      <w:pPr>
        <w:widowControl/>
        <w:numPr>
          <w:ilvl w:val="0"/>
          <w:numId w:val="10"/>
        </w:numPr>
      </w:pPr>
      <w:r>
        <w:rPr>
          <w:rFonts w:ascii="Calibri" w:hAnsi="Calibri"/>
          <w:b/>
          <w:color w:val="202833"/>
        </w:rPr>
        <w:t xml:space="preserve">Correct account and network. </w:t>
      </w:r>
      <w:r>
        <w:rPr>
          <w:rFonts w:ascii="Calibri" w:hAnsi="Calibri"/>
          <w:color w:val="202833"/>
        </w:rPr>
        <w:t>Full sender address, Aptos mainnet, and expected sequence context.</w:t>
      </w:r>
    </w:p>
    <w:p>
      <w:pPr>
        <w:widowControl/>
        <w:numPr>
          <w:ilvl w:val="0"/>
          <w:numId w:val="10"/>
        </w:numPr>
      </w:pPr>
      <w:r>
        <w:rPr>
          <w:rFonts w:ascii="Calibri" w:hAnsi="Calibri"/>
          <w:b/>
          <w:color w:val="202833"/>
        </w:rPr>
        <w:t xml:space="preserve">Canonical asset. </w:t>
      </w:r>
      <w:r>
        <w:rPr>
          <w:rFonts w:ascii="Calibri" w:hAnsi="Calibri"/>
          <w:color w:val="202833"/>
        </w:rPr>
        <w:t>Exact metadata/object address or Move type; issuer and representation verified.</w:t>
      </w:r>
    </w:p>
    <w:p>
      <w:pPr>
        <w:widowControl/>
        <w:numPr>
          <w:ilvl w:val="0"/>
          <w:numId w:val="10"/>
        </w:numPr>
      </w:pPr>
      <w:r>
        <w:rPr>
          <w:rFonts w:ascii="Calibri" w:hAnsi="Calibri"/>
          <w:b/>
          <w:color w:val="202833"/>
        </w:rPr>
        <w:t xml:space="preserve">Destination. </w:t>
      </w:r>
      <w:r>
        <w:rPr>
          <w:rFonts w:ascii="Calibri" w:hAnsi="Calibri"/>
          <w:color w:val="202833"/>
        </w:rPr>
        <w:t>Full address or freshly resolved .apt name confirmed independently.</w:t>
      </w:r>
    </w:p>
    <w:p>
      <w:pPr>
        <w:widowControl/>
        <w:numPr>
          <w:ilvl w:val="0"/>
          <w:numId w:val="10"/>
        </w:numPr>
      </w:pPr>
      <w:r>
        <w:rPr>
          <w:rFonts w:ascii="Calibri" w:hAnsi="Calibri"/>
          <w:b/>
          <w:color w:val="202833"/>
        </w:rPr>
        <w:t xml:space="preserve">Economic terms. </w:t>
      </w:r>
      <w:r>
        <w:rPr>
          <w:rFonts w:ascii="Calibri" w:hAnsi="Calibri"/>
          <w:color w:val="202833"/>
        </w:rPr>
        <w:t>Amount, decimals, swap minimum, slippage, route, staking receipt, withdrawal conditions, and total fees.</w:t>
      </w:r>
    </w:p>
    <w:p>
      <w:pPr>
        <w:widowControl/>
        <w:numPr>
          <w:ilvl w:val="0"/>
          <w:numId w:val="10"/>
        </w:numPr>
      </w:pPr>
      <w:r>
        <w:rPr>
          <w:rFonts w:ascii="Calibri" w:hAnsi="Calibri"/>
          <w:b/>
          <w:color w:val="202833"/>
        </w:rPr>
        <w:t xml:space="preserve">Technical payload. </w:t>
      </w:r>
      <w:r>
        <w:rPr>
          <w:rFonts w:ascii="Calibri" w:hAnsi="Calibri"/>
          <w:color w:val="202833"/>
        </w:rPr>
        <w:t>Move module/function, all asset changes, chain ID, expiration, maximum gas, and simulation.</w:t>
      </w:r>
    </w:p>
    <w:p>
      <w:pPr>
        <w:widowControl/>
        <w:numPr>
          <w:ilvl w:val="0"/>
          <w:numId w:val="10"/>
        </w:numPr>
      </w:pPr>
      <w:r>
        <w:rPr>
          <w:rFonts w:ascii="Calibri" w:hAnsi="Calibri"/>
          <w:b/>
          <w:color w:val="202833"/>
        </w:rPr>
        <w:t xml:space="preserve">Residual capability. </w:t>
      </w:r>
      <w:r>
        <w:rPr>
          <w:rFonts w:ascii="Calibri" w:hAnsi="Calibri"/>
          <w:color w:val="202833"/>
        </w:rPr>
        <w:t>Enough APT remains for gas and recovery; no critical object or authority is unintentionally transferred.</w:t>
      </w:r>
    </w:p>
    <w:p>
      <w:pPr>
        <w:widowControl/>
        <w:numPr>
          <w:ilvl w:val="0"/>
          <w:numId w:val="10"/>
        </w:numPr>
      </w:pPr>
      <w:r>
        <w:rPr>
          <w:rFonts w:ascii="Calibri" w:hAnsi="Calibri"/>
          <w:b/>
          <w:color w:val="202833"/>
        </w:rPr>
        <w:t xml:space="preserve">Test transfer. </w:t>
      </w:r>
      <w:r>
        <w:rPr>
          <w:rFonts w:ascii="Calibri" w:hAnsi="Calibri"/>
          <w:color w:val="202833"/>
        </w:rPr>
        <w:t>Required for new recipient, exchange, asset, bridge, dApp, or unusually large amount.</w:t>
      </w:r>
    </w:p>
    <w:p>
      <w:pPr>
        <w:pStyle w:val="Heading2"/>
        <w:keepNext/>
        <w:widowControl/>
      </w:pPr>
      <w:r>
        <w:t>20.3 Post-transaction verification</w:t>
      </w:r>
    </w:p>
    <w:p>
      <w:pPr>
        <w:widowControl/>
        <w:numPr>
          <w:ilvl w:val="0"/>
          <w:numId w:val="10"/>
        </w:numPr>
      </w:pPr>
      <w:r>
        <w:rPr>
          <w:rFonts w:ascii="Calibri" w:hAnsi="Calibri"/>
          <w:b/>
          <w:color w:val="202833"/>
        </w:rPr>
        <w:t xml:space="preserve">Find the hash and version. </w:t>
      </w:r>
      <w:r>
        <w:rPr>
          <w:rFonts w:ascii="Calibri" w:hAnsi="Calibri"/>
          <w:color w:val="202833"/>
        </w:rPr>
        <w:t>Open the transaction in an independent current Aptos explorer.</w:t>
      </w:r>
    </w:p>
    <w:p>
      <w:pPr>
        <w:widowControl/>
        <w:numPr>
          <w:ilvl w:val="0"/>
          <w:numId w:val="10"/>
        </w:numPr>
      </w:pPr>
      <w:r>
        <w:rPr>
          <w:rFonts w:ascii="Calibri" w:hAnsi="Calibri"/>
          <w:b/>
          <w:color w:val="202833"/>
        </w:rPr>
        <w:t xml:space="preserve">Read success and VM status. </w:t>
      </w:r>
      <w:r>
        <w:rPr>
          <w:rFonts w:ascii="Calibri" w:hAnsi="Calibri"/>
          <w:color w:val="202833"/>
        </w:rPr>
        <w:t>Submission or inclusion alone is not proof that the call succeeded.</w:t>
      </w:r>
    </w:p>
    <w:p>
      <w:pPr>
        <w:widowControl/>
        <w:numPr>
          <w:ilvl w:val="0"/>
          <w:numId w:val="10"/>
        </w:numPr>
      </w:pPr>
      <w:r>
        <w:rPr>
          <w:rFonts w:ascii="Calibri" w:hAnsi="Calibri"/>
          <w:b/>
          <w:color w:val="202833"/>
        </w:rPr>
        <w:t xml:space="preserve">Verify events and write set. </w:t>
      </w:r>
      <w:r>
        <w:rPr>
          <w:rFonts w:ascii="Calibri" w:hAnsi="Calibri"/>
          <w:color w:val="202833"/>
        </w:rPr>
        <w:t>Confirm the exact asset, sender, recipient, amount, objects, and protocol effects.</w:t>
      </w:r>
    </w:p>
    <w:p>
      <w:pPr>
        <w:widowControl/>
        <w:numPr>
          <w:ilvl w:val="0"/>
          <w:numId w:val="10"/>
        </w:numPr>
      </w:pPr>
      <w:r>
        <w:rPr>
          <w:rFonts w:ascii="Calibri" w:hAnsi="Calibri"/>
          <w:b/>
          <w:color w:val="202833"/>
        </w:rPr>
        <w:t xml:space="preserve">Reconcile gas. </w:t>
      </w:r>
      <w:r>
        <w:rPr>
          <w:rFonts w:ascii="Calibri" w:hAnsi="Calibri"/>
          <w:color w:val="202833"/>
        </w:rPr>
        <w:t>Compare APT change with gas used, gas-unit price, and storage refund.</w:t>
      </w:r>
    </w:p>
    <w:p>
      <w:pPr>
        <w:widowControl/>
        <w:numPr>
          <w:ilvl w:val="0"/>
          <w:numId w:val="10"/>
        </w:numPr>
      </w:pPr>
      <w:r>
        <w:rPr>
          <w:rFonts w:ascii="Calibri" w:hAnsi="Calibri"/>
          <w:b/>
          <w:color w:val="202833"/>
        </w:rPr>
        <w:t xml:space="preserve">Confirm destination. </w:t>
      </w:r>
      <w:r>
        <w:rPr>
          <w:rFonts w:ascii="Calibri" w:hAnsi="Calibri"/>
          <w:color w:val="202833"/>
        </w:rPr>
        <w:t>For exchanges and dApps, wait for their own credit or state update.</w:t>
      </w:r>
    </w:p>
    <w:p>
      <w:pPr>
        <w:widowControl/>
        <w:numPr>
          <w:ilvl w:val="0"/>
          <w:numId w:val="10"/>
        </w:numPr>
      </w:pPr>
      <w:r>
        <w:rPr>
          <w:rFonts w:ascii="Calibri" w:hAnsi="Calibri"/>
          <w:b/>
          <w:color w:val="202833"/>
        </w:rPr>
        <w:t xml:space="preserve">Record evidence. </w:t>
      </w:r>
      <w:r>
        <w:rPr>
          <w:rFonts w:ascii="Calibri" w:hAnsi="Calibri"/>
          <w:color w:val="202833"/>
        </w:rPr>
        <w:t>Preserve hash, screenshots without secrets, provider receipts, and support ticket number if needed.</w:t>
      </w:r>
    </w:p>
    <w:p>
      <w:pPr>
        <w:widowControl/>
        <w:numPr>
          <w:ilvl w:val="0"/>
          <w:numId w:val="10"/>
        </w:numPr>
      </w:pPr>
      <w:r>
        <w:rPr>
          <w:rFonts w:ascii="Calibri" w:hAnsi="Calibri"/>
          <w:b/>
          <w:color w:val="202833"/>
        </w:rPr>
        <w:t xml:space="preserve">Investigate anomalies before retrying. </w:t>
      </w:r>
      <w:r>
        <w:rPr>
          <w:rFonts w:ascii="Calibri" w:hAnsi="Calibri"/>
          <w:color w:val="202833"/>
        </w:rPr>
        <w:t>Repeated submissions can consume gas, advance sequence, or duplicate an intended action.</w:t>
      </w:r>
    </w:p>
    <w:p>
      <w:pPr>
        <w:pStyle w:val="Heading2"/>
        <w:keepNext/>
        <w:widowControl/>
      </w:pPr>
      <w:r>
        <w:t>20.4 Incident response</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850"/>
        <w:gridCol w:w="3700"/>
        <w:gridCol w:w="3810"/>
      </w:tblGrid>
      <w:tr>
        <w:trPr>
          <w:tblHeader w:val="true"/>
        </w:trPr>
        <w:tc>
          <w:tcPr>
            <w:tcW w:type="dxa" w:w="1850"/>
            <w:tcMar>
              <w:top w:w="80" w:type="dxa"/>
              <w:start w:w="120" w:type="dxa"/>
              <w:bottom w:w="80" w:type="dxa"/>
              <w:end w:w="120" w:type="dxa"/>
            </w:tcMar>
            <w:vAlign w:val="center"/>
            <w:shd w:fill="F2F4F7"/>
          </w:tcPr>
          <w:p>
            <w:pPr>
              <w:spacing w:after="0"/>
              <w:jc w:val="left"/>
            </w:pPr>
            <w:r>
              <w:rPr>
                <w:rFonts w:ascii="Calibri" w:hAnsi="Calibri"/>
                <w:b/>
                <w:color w:val="17365D"/>
                <w:sz w:val="19"/>
              </w:rPr>
              <w:t>Incident</w:t>
            </w:r>
          </w:p>
        </w:tc>
        <w:tc>
          <w:tcPr>
            <w:tcW w:type="dxa" w:w="3700"/>
            <w:tcMar>
              <w:top w:w="80" w:type="dxa"/>
              <w:start w:w="120" w:type="dxa"/>
              <w:bottom w:w="80" w:type="dxa"/>
              <w:end w:w="120" w:type="dxa"/>
            </w:tcMar>
            <w:vAlign w:val="center"/>
            <w:shd w:fill="F2F4F7"/>
          </w:tcPr>
          <w:p>
            <w:pPr>
              <w:spacing w:after="0"/>
              <w:jc w:val="left"/>
            </w:pPr>
            <w:r>
              <w:rPr>
                <w:rFonts w:ascii="Calibri" w:hAnsi="Calibri"/>
                <w:b/>
                <w:color w:val="17365D"/>
                <w:sz w:val="19"/>
              </w:rPr>
              <w:t>Immediate action</w:t>
            </w:r>
          </w:p>
        </w:tc>
        <w:tc>
          <w:tcPr>
            <w:tcW w:type="dxa" w:w="3810"/>
            <w:tcMar>
              <w:top w:w="80" w:type="dxa"/>
              <w:start w:w="120" w:type="dxa"/>
              <w:bottom w:w="80" w:type="dxa"/>
              <w:end w:w="120" w:type="dxa"/>
            </w:tcMar>
            <w:vAlign w:val="center"/>
            <w:shd w:fill="F2F4F7"/>
          </w:tcPr>
          <w:p>
            <w:pPr>
              <w:spacing w:after="0"/>
              <w:jc w:val="left"/>
            </w:pPr>
            <w:r>
              <w:rPr>
                <w:rFonts w:ascii="Calibri" w:hAnsi="Calibri"/>
                <w:b/>
                <w:color w:val="17365D"/>
                <w:sz w:val="19"/>
              </w:rPr>
              <w:t>Follow-up</w:t>
            </w:r>
          </w:p>
        </w:tc>
      </w:tr>
      <w:tr>
        <w:trPr>
          <w:cantSplit/>
        </w:trPr>
        <w:tc>
          <w:tcPr>
            <w:tcW w:type="dxa" w:w="1850"/>
            <w:shd w:fill="FBFCFD"/>
          </w:tcPr>
          <w:p>
            <w:pPr>
              <w:spacing w:after="0" w:line="252" w:lineRule="auto"/>
              <w:jc w:val="left"/>
            </w:pPr>
            <w:r>
              <w:rPr>
                <w:rFonts w:ascii="Calibri" w:hAnsi="Calibri"/>
                <w:color w:val="202833"/>
                <w:sz w:val="18"/>
              </w:rPr>
              <w:t>Suspected seed exposure</w:t>
            </w:r>
          </w:p>
        </w:tc>
        <w:tc>
          <w:tcPr>
            <w:tcW w:type="dxa" w:w="3700"/>
            <w:shd w:fill="FBFCFD"/>
          </w:tcPr>
          <w:p>
            <w:pPr>
              <w:spacing w:after="0" w:line="252" w:lineRule="auto"/>
              <w:jc w:val="left"/>
            </w:pPr>
            <w:r>
              <w:rPr>
                <w:rFonts w:ascii="Calibri" w:hAnsi="Calibri"/>
                <w:color w:val="202833"/>
                <w:sz w:val="18"/>
              </w:rPr>
              <w:t>From a clean environment, move assets to a new secure account; prioritize liquid assets and critical objects.</w:t>
            </w:r>
          </w:p>
        </w:tc>
        <w:tc>
          <w:tcPr>
            <w:tcW w:type="dxa" w:w="3810"/>
            <w:shd w:fill="FBFCFD"/>
          </w:tcPr>
          <w:p>
            <w:pPr>
              <w:spacing w:after="0" w:line="252" w:lineRule="auto"/>
              <w:jc w:val="left"/>
            </w:pPr>
            <w:r>
              <w:rPr>
                <w:rFonts w:ascii="Calibri" w:hAnsi="Calibri"/>
                <w:color w:val="202833"/>
                <w:sz w:val="18"/>
              </w:rPr>
              <w:t>Revoke/exit dApps, unstake or recover protocol positions, document the timeline, and retire the seed.</w:t>
            </w:r>
          </w:p>
        </w:tc>
      </w:tr>
      <w:tr>
        <w:trPr>
          <w:cantSplit/>
        </w:trPr>
        <w:tc>
          <w:tcPr>
            <w:tcW w:type="dxa" w:w="1850"/>
          </w:tcPr>
          <w:p>
            <w:pPr>
              <w:spacing w:after="0" w:line="252" w:lineRule="auto"/>
              <w:jc w:val="left"/>
            </w:pPr>
            <w:r>
              <w:rPr>
                <w:rFonts w:ascii="Calibri" w:hAnsi="Calibri"/>
                <w:color w:val="202833"/>
                <w:sz w:val="18"/>
              </w:rPr>
              <w:t>Malicious transaction signed</w:t>
            </w:r>
          </w:p>
        </w:tc>
        <w:tc>
          <w:tcPr>
            <w:tcW w:type="dxa" w:w="3700"/>
          </w:tcPr>
          <w:p>
            <w:pPr>
              <w:spacing w:after="0" w:line="252" w:lineRule="auto"/>
              <w:jc w:val="left"/>
            </w:pPr>
            <w:r>
              <w:rPr>
                <w:rFonts w:ascii="Calibri" w:hAnsi="Calibri"/>
                <w:color w:val="202833"/>
                <w:sz w:val="18"/>
              </w:rPr>
              <w:t>Check whether it committed; stop further prompts and disconnect the dApp.</w:t>
            </w:r>
          </w:p>
        </w:tc>
        <w:tc>
          <w:tcPr>
            <w:tcW w:type="dxa" w:w="3810"/>
          </w:tcPr>
          <w:p>
            <w:pPr>
              <w:spacing w:after="0" w:line="252" w:lineRule="auto"/>
              <w:jc w:val="left"/>
            </w:pPr>
            <w:r>
              <w:rPr>
                <w:rFonts w:ascii="Calibri" w:hAnsi="Calibri"/>
                <w:color w:val="202833"/>
                <w:sz w:val="18"/>
              </w:rPr>
              <w:t>Move remaining assets if authority is at risk; inspect events and contract effects.</w:t>
            </w:r>
          </w:p>
        </w:tc>
      </w:tr>
      <w:tr>
        <w:trPr>
          <w:cantSplit/>
        </w:trPr>
        <w:tc>
          <w:tcPr>
            <w:tcW w:type="dxa" w:w="1850"/>
            <w:shd w:fill="FBFCFD"/>
          </w:tcPr>
          <w:p>
            <w:pPr>
              <w:spacing w:after="0" w:line="252" w:lineRule="auto"/>
              <w:jc w:val="left"/>
            </w:pPr>
            <w:r>
              <w:rPr>
                <w:rFonts w:ascii="Calibri" w:hAnsi="Calibri"/>
                <w:color w:val="202833"/>
                <w:sz w:val="18"/>
              </w:rPr>
              <w:t>Wallet no longer opens</w:t>
            </w:r>
          </w:p>
        </w:tc>
        <w:tc>
          <w:tcPr>
            <w:tcW w:type="dxa" w:w="3700"/>
            <w:shd w:fill="FBFCFD"/>
          </w:tcPr>
          <w:p>
            <w:pPr>
              <w:spacing w:after="0" w:line="252" w:lineRule="auto"/>
              <w:jc w:val="left"/>
            </w:pPr>
            <w:r>
              <w:rPr>
                <w:rFonts w:ascii="Calibri" w:hAnsi="Calibri"/>
                <w:color w:val="202833"/>
                <w:sz w:val="18"/>
              </w:rPr>
              <w:t>Do not install random repair software or enter the seed on a webpage.</w:t>
            </w:r>
          </w:p>
        </w:tc>
        <w:tc>
          <w:tcPr>
            <w:tcW w:type="dxa" w:w="3810"/>
            <w:shd w:fill="FBFCFD"/>
          </w:tcPr>
          <w:p>
            <w:pPr>
              <w:spacing w:after="0" w:line="252" w:lineRule="auto"/>
              <w:jc w:val="left"/>
            </w:pPr>
            <w:r>
              <w:rPr>
                <w:rFonts w:ascii="Calibri" w:hAnsi="Calibri"/>
                <w:color w:val="202833"/>
                <w:sz w:val="18"/>
              </w:rPr>
              <w:t>Restore in a maintained Aptos wallet using documented derivation and verify full addresses.</w:t>
            </w:r>
          </w:p>
        </w:tc>
      </w:tr>
      <w:tr>
        <w:trPr>
          <w:cantSplit/>
        </w:trPr>
        <w:tc>
          <w:tcPr>
            <w:tcW w:type="dxa" w:w="1850"/>
          </w:tcPr>
          <w:p>
            <w:pPr>
              <w:spacing w:after="0" w:line="252" w:lineRule="auto"/>
              <w:jc w:val="left"/>
            </w:pPr>
            <w:r>
              <w:rPr>
                <w:rFonts w:ascii="Calibri" w:hAnsi="Calibri"/>
                <w:color w:val="202833"/>
                <w:sz w:val="18"/>
              </w:rPr>
              <w:t>Asset missing from UI</w:t>
            </w:r>
          </w:p>
        </w:tc>
        <w:tc>
          <w:tcPr>
            <w:tcW w:type="dxa" w:w="3700"/>
          </w:tcPr>
          <w:p>
            <w:pPr>
              <w:spacing w:after="0" w:line="252" w:lineRule="auto"/>
              <w:jc w:val="left"/>
            </w:pPr>
            <w:r>
              <w:rPr>
                <w:rFonts w:ascii="Calibri" w:hAnsi="Calibri"/>
                <w:color w:val="202833"/>
                <w:sz w:val="18"/>
              </w:rPr>
              <w:t>Check mainnet, full address, explorer, and a current FA/DA-aware wallet.</w:t>
            </w:r>
          </w:p>
        </w:tc>
        <w:tc>
          <w:tcPr>
            <w:tcW w:type="dxa" w:w="3810"/>
          </w:tcPr>
          <w:p>
            <w:pPr>
              <w:spacing w:after="0" w:line="252" w:lineRule="auto"/>
              <w:jc w:val="left"/>
            </w:pPr>
            <w:r>
              <w:rPr>
                <w:rFonts w:ascii="Calibri" w:hAnsi="Calibri"/>
                <w:color w:val="202833"/>
                <w:sz w:val="18"/>
              </w:rPr>
              <w:t>Identify indexer, migration, metadata, or protocol custody issue before resending.</w:t>
            </w:r>
          </w:p>
        </w:tc>
      </w:tr>
      <w:tr>
        <w:trPr>
          <w:cantSplit/>
        </w:trPr>
        <w:tc>
          <w:tcPr>
            <w:tcW w:type="dxa" w:w="1850"/>
            <w:shd w:fill="FBFCFD"/>
          </w:tcPr>
          <w:p>
            <w:pPr>
              <w:spacing w:after="0" w:line="252" w:lineRule="auto"/>
              <w:jc w:val="left"/>
            </w:pPr>
            <w:r>
              <w:rPr>
                <w:rFonts w:ascii="Calibri" w:hAnsi="Calibri"/>
                <w:color w:val="202833"/>
                <w:sz w:val="18"/>
              </w:rPr>
              <w:t>Wrong exchange transfer</w:t>
            </w:r>
          </w:p>
        </w:tc>
        <w:tc>
          <w:tcPr>
            <w:tcW w:type="dxa" w:w="3700"/>
            <w:shd w:fill="FBFCFD"/>
          </w:tcPr>
          <w:p>
            <w:pPr>
              <w:spacing w:after="0" w:line="252" w:lineRule="auto"/>
              <w:jc w:val="left"/>
            </w:pPr>
            <w:r>
              <w:rPr>
                <w:rFonts w:ascii="Calibri" w:hAnsi="Calibri"/>
                <w:color w:val="202833"/>
                <w:sz w:val="18"/>
              </w:rPr>
              <w:t>Collect transaction evidence and contact the exchange through its official channel.</w:t>
            </w:r>
          </w:p>
        </w:tc>
        <w:tc>
          <w:tcPr>
            <w:tcW w:type="dxa" w:w="3810"/>
            <w:shd w:fill="FBFCFD"/>
          </w:tcPr>
          <w:p>
            <w:pPr>
              <w:spacing w:after="0" w:line="252" w:lineRule="auto"/>
              <w:jc w:val="left"/>
            </w:pPr>
            <w:r>
              <w:rPr>
                <w:rFonts w:ascii="Calibri" w:hAnsi="Calibri"/>
                <w:color w:val="202833"/>
                <w:sz w:val="18"/>
              </w:rPr>
              <w:t>Recovery depends on exchange policy and exact asset/network; never share the mnemonic.</w:t>
            </w:r>
          </w:p>
        </w:tc>
      </w:tr>
      <w:tr>
        <w:trPr>
          <w:cantSplit/>
        </w:trPr>
        <w:tc>
          <w:tcPr>
            <w:tcW w:type="dxa" w:w="1850"/>
          </w:tcPr>
          <w:p>
            <w:pPr>
              <w:spacing w:after="0" w:line="252" w:lineRule="auto"/>
              <w:jc w:val="left"/>
            </w:pPr>
            <w:r>
              <w:rPr>
                <w:rFonts w:ascii="Calibri" w:hAnsi="Calibri"/>
                <w:color w:val="202833"/>
                <w:sz w:val="18"/>
              </w:rPr>
              <w:t>Unauthorized transfer</w:t>
            </w:r>
          </w:p>
        </w:tc>
        <w:tc>
          <w:tcPr>
            <w:tcW w:type="dxa" w:w="3700"/>
          </w:tcPr>
          <w:p>
            <w:pPr>
              <w:spacing w:after="0" w:line="252" w:lineRule="auto"/>
              <w:jc w:val="left"/>
            </w:pPr>
            <w:r>
              <w:rPr>
                <w:rFonts w:ascii="Calibri" w:hAnsi="Calibri"/>
                <w:color w:val="202833"/>
                <w:sz w:val="18"/>
              </w:rPr>
              <w:t>Assume key compromise and secure remaining assets.</w:t>
            </w:r>
          </w:p>
        </w:tc>
        <w:tc>
          <w:tcPr>
            <w:tcW w:type="dxa" w:w="3810"/>
          </w:tcPr>
          <w:p>
            <w:pPr>
              <w:spacing w:after="0" w:line="252" w:lineRule="auto"/>
              <w:jc w:val="left"/>
            </w:pPr>
            <w:r>
              <w:rPr>
                <w:rFonts w:ascii="Calibri" w:hAnsi="Calibri"/>
                <w:color w:val="202833"/>
                <w:sz w:val="18"/>
              </w:rPr>
              <w:t>Report relevant phishing/software, preserve evidence, and recognize that on-chain reversal is unlikely.</w:t>
            </w:r>
          </w:p>
        </w:tc>
      </w:tr>
    </w:tbl>
    <w:p>
      <w:pPr>
        <w:widowControl/>
        <w:spacing w:after="0"/>
      </w:pPr>
    </w:p>
    <w:p>
      <w:pPr>
        <w:pStyle w:val="Heading1"/>
        <w:keepNext/>
        <w:widowControl/>
      </w:pPr>
      <w:r>
        <w:t>21. Troubleshooting guide</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900"/>
        <w:gridCol w:w="3680"/>
        <w:gridCol w:w="3780"/>
      </w:tblGrid>
      <w:tr>
        <w:trPr>
          <w:tblHeader w:val="true"/>
        </w:trPr>
        <w:tc>
          <w:tcPr>
            <w:tcW w:type="dxa" w:w="1900"/>
            <w:tcMar>
              <w:top w:w="80" w:type="dxa"/>
              <w:start w:w="120" w:type="dxa"/>
              <w:bottom w:w="80" w:type="dxa"/>
              <w:end w:w="120" w:type="dxa"/>
            </w:tcMar>
            <w:vAlign w:val="center"/>
            <w:shd w:fill="F2F4F7"/>
          </w:tcPr>
          <w:p>
            <w:pPr>
              <w:spacing w:after="0"/>
              <w:jc w:val="left"/>
            </w:pPr>
            <w:r>
              <w:rPr>
                <w:rFonts w:ascii="Calibri" w:hAnsi="Calibri"/>
                <w:b/>
                <w:color w:val="17365D"/>
                <w:sz w:val="19"/>
              </w:rPr>
              <w:t>Symptom</w:t>
            </w:r>
          </w:p>
        </w:tc>
        <w:tc>
          <w:tcPr>
            <w:tcW w:type="dxa" w:w="3680"/>
            <w:tcMar>
              <w:top w:w="80" w:type="dxa"/>
              <w:start w:w="120" w:type="dxa"/>
              <w:bottom w:w="80" w:type="dxa"/>
              <w:end w:w="120" w:type="dxa"/>
            </w:tcMar>
            <w:vAlign w:val="center"/>
            <w:shd w:fill="F2F4F7"/>
          </w:tcPr>
          <w:p>
            <w:pPr>
              <w:spacing w:after="0"/>
              <w:jc w:val="left"/>
            </w:pPr>
            <w:r>
              <w:rPr>
                <w:rFonts w:ascii="Calibri" w:hAnsi="Calibri"/>
                <w:b/>
                <w:color w:val="17365D"/>
                <w:sz w:val="19"/>
              </w:rPr>
              <w:t>Likely causes</w:t>
            </w:r>
          </w:p>
        </w:tc>
        <w:tc>
          <w:tcPr>
            <w:tcW w:type="dxa" w:w="3780"/>
            <w:tcMar>
              <w:top w:w="80" w:type="dxa"/>
              <w:start w:w="120" w:type="dxa"/>
              <w:bottom w:w="80" w:type="dxa"/>
              <w:end w:w="120" w:type="dxa"/>
            </w:tcMar>
            <w:vAlign w:val="center"/>
            <w:shd w:fill="F2F4F7"/>
          </w:tcPr>
          <w:p>
            <w:pPr>
              <w:spacing w:after="0"/>
              <w:jc w:val="left"/>
            </w:pPr>
            <w:r>
              <w:rPr>
                <w:rFonts w:ascii="Calibri" w:hAnsi="Calibri"/>
                <w:b/>
                <w:color w:val="17365D"/>
                <w:sz w:val="19"/>
              </w:rPr>
              <w:t>Safe diagnostic path</w:t>
            </w:r>
          </w:p>
        </w:tc>
      </w:tr>
      <w:tr>
        <w:trPr>
          <w:cantSplit/>
        </w:trPr>
        <w:tc>
          <w:tcPr>
            <w:tcW w:type="dxa" w:w="1900"/>
            <w:shd w:fill="FBFCFD"/>
          </w:tcPr>
          <w:p>
            <w:pPr>
              <w:spacing w:after="0" w:line="252" w:lineRule="auto"/>
              <w:jc w:val="left"/>
            </w:pPr>
            <w:r>
              <w:rPr>
                <w:rFonts w:ascii="Calibri" w:hAnsi="Calibri"/>
                <w:color w:val="202833"/>
                <w:sz w:val="18"/>
              </w:rPr>
              <w:t>APT balance not visible</w:t>
            </w:r>
          </w:p>
        </w:tc>
        <w:tc>
          <w:tcPr>
            <w:tcW w:type="dxa" w:w="3680"/>
            <w:shd w:fill="FBFCFD"/>
          </w:tcPr>
          <w:p>
            <w:pPr>
              <w:spacing w:after="0" w:line="252" w:lineRule="auto"/>
              <w:jc w:val="left"/>
            </w:pPr>
            <w:r>
              <w:rPr>
                <w:rFonts w:ascii="Calibri" w:hAnsi="Calibri"/>
                <w:color w:val="202833"/>
                <w:sz w:val="18"/>
              </w:rPr>
              <w:t>Wrong network, stale RPC/indexer, address mismatch, FA migration incompatibility.</w:t>
            </w:r>
          </w:p>
        </w:tc>
        <w:tc>
          <w:tcPr>
            <w:tcW w:type="dxa" w:w="3780"/>
            <w:shd w:fill="FBFCFD"/>
          </w:tcPr>
          <w:p>
            <w:pPr>
              <w:spacing w:after="0" w:line="252" w:lineRule="auto"/>
              <w:jc w:val="left"/>
            </w:pPr>
            <w:r>
              <w:rPr>
                <w:rFonts w:ascii="Calibri" w:hAnsi="Calibri"/>
                <w:color w:val="202833"/>
                <w:sz w:val="18"/>
              </w:rPr>
              <w:t>Check full address on a current explorer and compare a maintained wallet.</w:t>
            </w:r>
          </w:p>
        </w:tc>
      </w:tr>
      <w:tr>
        <w:trPr>
          <w:cantSplit/>
        </w:trPr>
        <w:tc>
          <w:tcPr>
            <w:tcW w:type="dxa" w:w="1900"/>
          </w:tcPr>
          <w:p>
            <w:pPr>
              <w:spacing w:after="0" w:line="252" w:lineRule="auto"/>
              <w:jc w:val="left"/>
            </w:pPr>
            <w:r>
              <w:rPr>
                <w:rFonts w:ascii="Calibri" w:hAnsi="Calibri"/>
                <w:color w:val="202833"/>
                <w:sz w:val="18"/>
              </w:rPr>
              <w:t>Token not visible</w:t>
            </w:r>
          </w:p>
        </w:tc>
        <w:tc>
          <w:tcPr>
            <w:tcW w:type="dxa" w:w="3680"/>
          </w:tcPr>
          <w:p>
            <w:pPr>
              <w:spacing w:after="0" w:line="252" w:lineRule="auto"/>
              <w:jc w:val="left"/>
            </w:pPr>
            <w:r>
              <w:rPr>
                <w:rFonts w:ascii="Calibri" w:hAnsi="Calibri"/>
                <w:color w:val="202833"/>
                <w:sz w:val="18"/>
              </w:rPr>
              <w:t>Unsupported FA/DFA, missing metadata, custom token not added, wrong representation.</w:t>
            </w:r>
          </w:p>
        </w:tc>
        <w:tc>
          <w:tcPr>
            <w:tcW w:type="dxa" w:w="3780"/>
          </w:tcPr>
          <w:p>
            <w:pPr>
              <w:spacing w:after="0" w:line="252" w:lineRule="auto"/>
              <w:jc w:val="left"/>
            </w:pPr>
            <w:r>
              <w:rPr>
                <w:rFonts w:ascii="Calibri" w:hAnsi="Calibri"/>
                <w:color w:val="202833"/>
                <w:sz w:val="18"/>
              </w:rPr>
              <w:t>Verify issuer identifier and raw account asset balance before importing secrets elsewhere.</w:t>
            </w:r>
          </w:p>
        </w:tc>
      </w:tr>
      <w:tr>
        <w:trPr>
          <w:cantSplit/>
        </w:trPr>
        <w:tc>
          <w:tcPr>
            <w:tcW w:type="dxa" w:w="1900"/>
            <w:shd w:fill="FBFCFD"/>
          </w:tcPr>
          <w:p>
            <w:pPr>
              <w:spacing w:after="0" w:line="252" w:lineRule="auto"/>
              <w:jc w:val="left"/>
            </w:pPr>
            <w:r>
              <w:rPr>
                <w:rFonts w:ascii="Calibri" w:hAnsi="Calibri"/>
                <w:color w:val="202833"/>
                <w:sz w:val="18"/>
              </w:rPr>
              <w:t>Token cannot be sent</w:t>
            </w:r>
          </w:p>
        </w:tc>
        <w:tc>
          <w:tcPr>
            <w:tcW w:type="dxa" w:w="3680"/>
            <w:shd w:fill="FBFCFD"/>
          </w:tcPr>
          <w:p>
            <w:pPr>
              <w:spacing w:after="0" w:line="252" w:lineRule="auto"/>
              <w:jc w:val="left"/>
            </w:pPr>
            <w:r>
              <w:rPr>
                <w:rFonts w:ascii="Calibri" w:hAnsi="Calibri"/>
                <w:color w:val="202833"/>
                <w:sz w:val="18"/>
              </w:rPr>
              <w:t>Old CoinStore assumption, unsupported FA function, insufficient APT, frozen/dispatchable behavior.</w:t>
            </w:r>
          </w:p>
        </w:tc>
        <w:tc>
          <w:tcPr>
            <w:tcW w:type="dxa" w:w="3780"/>
            <w:shd w:fill="FBFCFD"/>
          </w:tcPr>
          <w:p>
            <w:pPr>
              <w:spacing w:after="0" w:line="252" w:lineRule="auto"/>
              <w:jc w:val="left"/>
            </w:pPr>
            <w:r>
              <w:rPr>
                <w:rFonts w:ascii="Calibri" w:hAnsi="Calibri"/>
                <w:color w:val="202833"/>
                <w:sz w:val="18"/>
              </w:rPr>
              <w:t>Simulate current transfer in a maintained client and inspect VM error.</w:t>
            </w:r>
          </w:p>
        </w:tc>
      </w:tr>
      <w:tr>
        <w:trPr>
          <w:cantSplit/>
        </w:trPr>
        <w:tc>
          <w:tcPr>
            <w:tcW w:type="dxa" w:w="1900"/>
          </w:tcPr>
          <w:p>
            <w:pPr>
              <w:spacing w:after="0" w:line="252" w:lineRule="auto"/>
              <w:jc w:val="left"/>
            </w:pPr>
            <w:r>
              <w:rPr>
                <w:rFonts w:ascii="Calibri" w:hAnsi="Calibri"/>
                <w:color w:val="202833"/>
                <w:sz w:val="18"/>
              </w:rPr>
              <w:t>Rise absent from dApp</w:t>
            </w:r>
          </w:p>
        </w:tc>
        <w:tc>
          <w:tcPr>
            <w:tcW w:type="dxa" w:w="3680"/>
          </w:tcPr>
          <w:p>
            <w:pPr>
              <w:spacing w:after="0" w:line="252" w:lineRule="auto"/>
              <w:jc w:val="left"/>
            </w:pPr>
            <w:r>
              <w:rPr>
                <w:rFonts w:ascii="Calibri" w:hAnsi="Calibri"/>
                <w:color w:val="202833"/>
                <w:sz w:val="18"/>
              </w:rPr>
              <w:t>DApp uses AIP-62 and Rise only exposes legacy adapter/global interface.</w:t>
            </w:r>
          </w:p>
        </w:tc>
        <w:tc>
          <w:tcPr>
            <w:tcW w:type="dxa" w:w="3780"/>
          </w:tcPr>
          <w:p>
            <w:pPr>
              <w:spacing w:after="0" w:line="252" w:lineRule="auto"/>
              <w:jc w:val="left"/>
            </w:pPr>
            <w:r>
              <w:rPr>
                <w:rFonts w:ascii="Calibri" w:hAnsi="Calibri"/>
                <w:color w:val="202833"/>
                <w:sz w:val="18"/>
              </w:rPr>
              <w:t>Do not install a fake connector; use a maintained compatible wallet. [22]</w:t>
            </w:r>
          </w:p>
        </w:tc>
      </w:tr>
      <w:tr>
        <w:trPr>
          <w:cantSplit/>
        </w:trPr>
        <w:tc>
          <w:tcPr>
            <w:tcW w:type="dxa" w:w="1900"/>
            <w:shd w:fill="FBFCFD"/>
          </w:tcPr>
          <w:p>
            <w:pPr>
              <w:spacing w:after="0" w:line="252" w:lineRule="auto"/>
              <w:jc w:val="left"/>
            </w:pPr>
            <w:r>
              <w:rPr>
                <w:rFonts w:ascii="Calibri" w:hAnsi="Calibri"/>
                <w:color w:val="202833"/>
                <w:sz w:val="18"/>
              </w:rPr>
              <w:t>Transaction expired</w:t>
            </w:r>
          </w:p>
        </w:tc>
        <w:tc>
          <w:tcPr>
            <w:tcW w:type="dxa" w:w="3680"/>
            <w:shd w:fill="FBFCFD"/>
          </w:tcPr>
          <w:p>
            <w:pPr>
              <w:spacing w:after="0" w:line="252" w:lineRule="auto"/>
              <w:jc w:val="left"/>
            </w:pPr>
            <w:r>
              <w:rPr>
                <w:rFonts w:ascii="Calibri" w:hAnsi="Calibri"/>
                <w:color w:val="202833"/>
                <w:sz w:val="18"/>
              </w:rPr>
              <w:t>Device clock drift, old expiration, VPN/time issue.</w:t>
            </w:r>
          </w:p>
        </w:tc>
        <w:tc>
          <w:tcPr>
            <w:tcW w:type="dxa" w:w="3780"/>
            <w:shd w:fill="FBFCFD"/>
          </w:tcPr>
          <w:p>
            <w:pPr>
              <w:spacing w:after="0" w:line="252" w:lineRule="auto"/>
              <w:jc w:val="left"/>
            </w:pPr>
            <w:r>
              <w:rPr>
                <w:rFonts w:ascii="Calibri" w:hAnsi="Calibri"/>
                <w:color w:val="202833"/>
                <w:sz w:val="18"/>
              </w:rPr>
              <w:t>Synchronize system time, rebuild the transaction, and never repeatedly sign the same stale payload. [1]</w:t>
            </w:r>
          </w:p>
        </w:tc>
      </w:tr>
      <w:tr>
        <w:trPr>
          <w:cantSplit/>
        </w:trPr>
        <w:tc>
          <w:tcPr>
            <w:tcW w:type="dxa" w:w="1900"/>
          </w:tcPr>
          <w:p>
            <w:pPr>
              <w:spacing w:after="0" w:line="252" w:lineRule="auto"/>
              <w:jc w:val="left"/>
            </w:pPr>
            <w:r>
              <w:rPr>
                <w:rFonts w:ascii="Calibri" w:hAnsi="Calibri"/>
                <w:color w:val="202833"/>
                <w:sz w:val="18"/>
              </w:rPr>
              <w:t>RPC LIMIT warning</w:t>
            </w:r>
          </w:p>
        </w:tc>
        <w:tc>
          <w:tcPr>
            <w:tcW w:type="dxa" w:w="3680"/>
          </w:tcPr>
          <w:p>
            <w:pPr>
              <w:spacing w:after="0" w:line="252" w:lineRule="auto"/>
              <w:jc w:val="left"/>
            </w:pPr>
            <w:r>
              <w:rPr>
                <w:rFonts w:ascii="Calibri" w:hAnsi="Calibri"/>
                <w:color w:val="202833"/>
                <w:sz w:val="18"/>
              </w:rPr>
              <w:t>Public endpoint rate limiting.</w:t>
            </w:r>
          </w:p>
        </w:tc>
        <w:tc>
          <w:tcPr>
            <w:tcW w:type="dxa" w:w="3780"/>
          </w:tcPr>
          <w:p>
            <w:pPr>
              <w:spacing w:after="0" w:line="252" w:lineRule="auto"/>
              <w:jc w:val="left"/>
            </w:pPr>
            <w:r>
              <w:rPr>
                <w:rFonts w:ascii="Calibri" w:hAnsi="Calibri"/>
                <w:color w:val="202833"/>
                <w:sz w:val="18"/>
              </w:rPr>
              <w:t>Wait, reduce refreshes, select an authentic alternative endpoint if supported, and verify state independently. [1]</w:t>
            </w:r>
          </w:p>
        </w:tc>
      </w:tr>
      <w:tr>
        <w:trPr>
          <w:cantSplit/>
        </w:trPr>
        <w:tc>
          <w:tcPr>
            <w:tcW w:type="dxa" w:w="1900"/>
            <w:shd w:fill="FBFCFD"/>
          </w:tcPr>
          <w:p>
            <w:pPr>
              <w:spacing w:after="0" w:line="252" w:lineRule="auto"/>
              <w:jc w:val="left"/>
            </w:pPr>
            <w:r>
              <w:rPr>
                <w:rFonts w:ascii="Calibri" w:hAnsi="Calibri"/>
                <w:color w:val="202833"/>
                <w:sz w:val="18"/>
              </w:rPr>
              <w:t>Pending transaction</w:t>
            </w:r>
          </w:p>
        </w:tc>
        <w:tc>
          <w:tcPr>
            <w:tcW w:type="dxa" w:w="3680"/>
            <w:shd w:fill="FBFCFD"/>
          </w:tcPr>
          <w:p>
            <w:pPr>
              <w:spacing w:after="0" w:line="252" w:lineRule="auto"/>
              <w:jc w:val="left"/>
            </w:pPr>
            <w:r>
              <w:rPr>
                <w:rFonts w:ascii="Calibri" w:hAnsi="Calibri"/>
                <w:color w:val="202833"/>
                <w:sz w:val="18"/>
              </w:rPr>
              <w:t>Stale sequence, endpoint/mempool issue, network delay.</w:t>
            </w:r>
          </w:p>
        </w:tc>
        <w:tc>
          <w:tcPr>
            <w:tcW w:type="dxa" w:w="3780"/>
            <w:shd w:fill="FBFCFD"/>
          </w:tcPr>
          <w:p>
            <w:pPr>
              <w:spacing w:after="0" w:line="252" w:lineRule="auto"/>
              <w:jc w:val="left"/>
            </w:pPr>
            <w:r>
              <w:rPr>
                <w:rFonts w:ascii="Calibri" w:hAnsi="Calibri"/>
                <w:color w:val="202833"/>
                <w:sz w:val="18"/>
              </w:rPr>
              <w:t>Check the hash and on-chain sequence; rebuild only after understanding current state.</w:t>
            </w:r>
          </w:p>
        </w:tc>
      </w:tr>
      <w:tr>
        <w:trPr>
          <w:cantSplit/>
        </w:trPr>
        <w:tc>
          <w:tcPr>
            <w:tcW w:type="dxa" w:w="1900"/>
          </w:tcPr>
          <w:p>
            <w:pPr>
              <w:spacing w:after="0" w:line="252" w:lineRule="auto"/>
              <w:jc w:val="left"/>
            </w:pPr>
            <w:r>
              <w:rPr>
                <w:rFonts w:ascii="Calibri" w:hAnsi="Calibri"/>
                <w:color w:val="202833"/>
                <w:sz w:val="18"/>
              </w:rPr>
              <w:t>Committed but failed</w:t>
            </w:r>
          </w:p>
        </w:tc>
        <w:tc>
          <w:tcPr>
            <w:tcW w:type="dxa" w:w="3680"/>
          </w:tcPr>
          <w:p>
            <w:pPr>
              <w:spacing w:after="0" w:line="252" w:lineRule="auto"/>
              <w:jc w:val="left"/>
            </w:pPr>
            <w:r>
              <w:rPr>
                <w:rFonts w:ascii="Calibri" w:hAnsi="Calibri"/>
                <w:color w:val="202833"/>
                <w:sz w:val="18"/>
              </w:rPr>
              <w:t>Move abort, insufficient max gas, invalid state, slippage, contract restriction.</w:t>
            </w:r>
          </w:p>
        </w:tc>
        <w:tc>
          <w:tcPr>
            <w:tcW w:type="dxa" w:w="3780"/>
          </w:tcPr>
          <w:p>
            <w:pPr>
              <w:spacing w:after="0" w:line="252" w:lineRule="auto"/>
              <w:jc w:val="left"/>
            </w:pPr>
            <w:r>
              <w:rPr>
                <w:rFonts w:ascii="Calibri" w:hAnsi="Calibri"/>
                <w:color w:val="202833"/>
                <w:sz w:val="18"/>
              </w:rPr>
              <w:t>Read success=false, VM status, events, and gas; correct cause before retry.</w:t>
            </w:r>
          </w:p>
        </w:tc>
      </w:tr>
      <w:tr>
        <w:trPr>
          <w:cantSplit/>
        </w:trPr>
        <w:tc>
          <w:tcPr>
            <w:tcW w:type="dxa" w:w="1900"/>
            <w:shd w:fill="FBFCFD"/>
          </w:tcPr>
          <w:p>
            <w:pPr>
              <w:spacing w:after="0" w:line="252" w:lineRule="auto"/>
              <w:jc w:val="left"/>
            </w:pPr>
            <w:r>
              <w:rPr>
                <w:rFonts w:ascii="Calibri" w:hAnsi="Calibri"/>
                <w:color w:val="202833"/>
                <w:sz w:val="18"/>
              </w:rPr>
              <w:t>NFT disappeared</w:t>
            </w:r>
          </w:p>
        </w:tc>
        <w:tc>
          <w:tcPr>
            <w:tcW w:type="dxa" w:w="3680"/>
            <w:shd w:fill="FBFCFD"/>
          </w:tcPr>
          <w:p>
            <w:pPr>
              <w:spacing w:after="0" w:line="252" w:lineRule="auto"/>
              <w:jc w:val="left"/>
            </w:pPr>
            <w:r>
              <w:rPr>
                <w:rFonts w:ascii="Calibri" w:hAnsi="Calibri"/>
                <w:color w:val="202833"/>
                <w:sz w:val="18"/>
              </w:rPr>
              <w:t>Listed/escrowed, transferred, indexer failure, unsupported DA, or media issue.</w:t>
            </w:r>
          </w:p>
        </w:tc>
        <w:tc>
          <w:tcPr>
            <w:tcW w:type="dxa" w:w="3780"/>
            <w:shd w:fill="FBFCFD"/>
          </w:tcPr>
          <w:p>
            <w:pPr>
              <w:spacing w:after="0" w:line="252" w:lineRule="auto"/>
              <w:jc w:val="left"/>
            </w:pPr>
            <w:r>
              <w:rPr>
                <w:rFonts w:ascii="Calibri" w:hAnsi="Calibri"/>
                <w:color w:val="202833"/>
                <w:sz w:val="18"/>
              </w:rPr>
              <w:t>Check current ownership/object address on-chain rather than the gallery alone.</w:t>
            </w:r>
          </w:p>
        </w:tc>
      </w:tr>
      <w:tr>
        <w:trPr>
          <w:cantSplit/>
        </w:trPr>
        <w:tc>
          <w:tcPr>
            <w:tcW w:type="dxa" w:w="1900"/>
          </w:tcPr>
          <w:p>
            <w:pPr>
              <w:spacing w:after="0" w:line="252" w:lineRule="auto"/>
              <w:jc w:val="left"/>
            </w:pPr>
            <w:r>
              <w:rPr>
                <w:rFonts w:ascii="Calibri" w:hAnsi="Calibri"/>
                <w:color w:val="202833"/>
                <w:sz w:val="18"/>
              </w:rPr>
              <w:t>Recovery phrase rejected</w:t>
            </w:r>
          </w:p>
        </w:tc>
        <w:tc>
          <w:tcPr>
            <w:tcW w:type="dxa" w:w="3680"/>
          </w:tcPr>
          <w:p>
            <w:pPr>
              <w:spacing w:after="0" w:line="252" w:lineRule="auto"/>
              <w:jc w:val="left"/>
            </w:pPr>
            <w:r>
              <w:rPr>
                <w:rFonts w:ascii="Calibri" w:hAnsi="Calibri"/>
                <w:color w:val="202833"/>
                <w:sz w:val="18"/>
              </w:rPr>
              <w:t>Wrong spelling/order/case, non-BIP39 phrase, corrupted backup.</w:t>
            </w:r>
          </w:p>
        </w:tc>
        <w:tc>
          <w:tcPr>
            <w:tcW w:type="dxa" w:w="3780"/>
          </w:tcPr>
          <w:p>
            <w:pPr>
              <w:spacing w:after="0" w:line="252" w:lineRule="auto"/>
              <w:jc w:val="left"/>
            </w:pPr>
            <w:r>
              <w:rPr>
                <w:rFonts w:ascii="Calibri" w:hAnsi="Calibri"/>
                <w:color w:val="202833"/>
                <w:sz w:val="18"/>
              </w:rPr>
              <w:t>Never send words to support; compare against the original physical backup offline. [1]</w:t>
            </w:r>
          </w:p>
        </w:tc>
      </w:tr>
      <w:tr>
        <w:trPr>
          <w:cantSplit/>
        </w:trPr>
        <w:tc>
          <w:tcPr>
            <w:tcW w:type="dxa" w:w="1900"/>
            <w:shd w:fill="FBFCFD"/>
          </w:tcPr>
          <w:p>
            <w:pPr>
              <w:spacing w:after="0" w:line="252" w:lineRule="auto"/>
              <w:jc w:val="left"/>
            </w:pPr>
            <w:r>
              <w:rPr>
                <w:rFonts w:ascii="Calibri" w:hAnsi="Calibri"/>
                <w:color w:val="202833"/>
                <w:sz w:val="18"/>
              </w:rPr>
              <w:t>Recovered wrong address</w:t>
            </w:r>
          </w:p>
        </w:tc>
        <w:tc>
          <w:tcPr>
            <w:tcW w:type="dxa" w:w="3680"/>
            <w:shd w:fill="FBFCFD"/>
          </w:tcPr>
          <w:p>
            <w:pPr>
              <w:spacing w:after="0" w:line="252" w:lineRule="auto"/>
              <w:jc w:val="left"/>
            </w:pPr>
            <w:r>
              <w:rPr>
                <w:rFonts w:ascii="Calibri" w:hAnsi="Calibri"/>
                <w:color w:val="202833"/>
                <w:sz w:val="18"/>
              </w:rPr>
              <w:t>Different derivation path/index, key scheme, or mnemonic.</w:t>
            </w:r>
          </w:p>
        </w:tc>
        <w:tc>
          <w:tcPr>
            <w:tcW w:type="dxa" w:w="3780"/>
            <w:shd w:fill="FBFCFD"/>
          </w:tcPr>
          <w:p>
            <w:pPr>
              <w:spacing w:after="0" w:line="252" w:lineRule="auto"/>
              <w:jc w:val="left"/>
            </w:pPr>
            <w:r>
              <w:rPr>
                <w:rFonts w:ascii="Calibri" w:hAnsi="Calibri"/>
                <w:color w:val="202833"/>
                <w:sz w:val="18"/>
              </w:rPr>
              <w:t>Enumerate documented Aptos paths and compare full public addresses without funding.</w:t>
            </w:r>
          </w:p>
        </w:tc>
      </w:tr>
      <w:tr>
        <w:trPr>
          <w:cantSplit/>
        </w:trPr>
        <w:tc>
          <w:tcPr>
            <w:tcW w:type="dxa" w:w="1900"/>
          </w:tcPr>
          <w:p>
            <w:pPr>
              <w:spacing w:after="0" w:line="252" w:lineRule="auto"/>
              <w:jc w:val="left"/>
            </w:pPr>
            <w:r>
              <w:rPr>
                <w:rFonts w:ascii="Calibri" w:hAnsi="Calibri"/>
                <w:color w:val="202833"/>
                <w:sz w:val="18"/>
              </w:rPr>
              <w:t>Recovered address cannot sign</w:t>
            </w:r>
          </w:p>
        </w:tc>
        <w:tc>
          <w:tcPr>
            <w:tcW w:type="dxa" w:w="3680"/>
          </w:tcPr>
          <w:p>
            <w:pPr>
              <w:spacing w:after="0" w:line="252" w:lineRule="auto"/>
              <w:jc w:val="left"/>
            </w:pPr>
            <w:r>
              <w:rPr>
                <w:rFonts w:ascii="Calibri" w:hAnsi="Calibri"/>
                <w:color w:val="202833"/>
                <w:sz w:val="18"/>
              </w:rPr>
              <w:t>Authentication key rotated or wrong private key.</w:t>
            </w:r>
          </w:p>
        </w:tc>
        <w:tc>
          <w:tcPr>
            <w:tcW w:type="dxa" w:w="3780"/>
          </w:tcPr>
          <w:p>
            <w:pPr>
              <w:spacing w:after="0" w:line="252" w:lineRule="auto"/>
              <w:jc w:val="left"/>
            </w:pPr>
            <w:r>
              <w:rPr>
                <w:rFonts w:ascii="Calibri" w:hAnsi="Calibri"/>
                <w:color w:val="202833"/>
                <w:sz w:val="18"/>
              </w:rPr>
              <w:t>Inspect current authentication key and rotation history; do not overwrite evidence.</w:t>
            </w:r>
          </w:p>
        </w:tc>
      </w:tr>
    </w:tbl>
    <w:p>
      <w:pPr>
        <w:widowControl/>
        <w:spacing w:after="0"/>
      </w:pPr>
    </w:p>
    <w:p>
      <w:pPr>
        <w:pStyle w:val="Heading1"/>
        <w:keepNext/>
        <w:widowControl/>
      </w:pPr>
      <w:r>
        <w:t>22. Advanced clarifications and common misconceptions</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3300"/>
        <w:gridCol w:w="6060"/>
      </w:tblGrid>
      <w:tr>
        <w:trPr>
          <w:tblHeader w:val="true"/>
        </w:trPr>
        <w:tc>
          <w:tcPr>
            <w:tcW w:type="dxa" w:w="3300"/>
            <w:tcMar>
              <w:top w:w="80" w:type="dxa"/>
              <w:start w:w="120" w:type="dxa"/>
              <w:bottom w:w="80" w:type="dxa"/>
              <w:end w:w="120" w:type="dxa"/>
            </w:tcMar>
            <w:vAlign w:val="center"/>
            <w:shd w:fill="F2F4F7"/>
          </w:tcPr>
          <w:p>
            <w:pPr>
              <w:spacing w:after="0"/>
              <w:jc w:val="left"/>
            </w:pPr>
            <w:r>
              <w:rPr>
                <w:rFonts w:ascii="Calibri" w:hAnsi="Calibri"/>
                <w:b/>
                <w:color w:val="17365D"/>
                <w:sz w:val="19"/>
              </w:rPr>
              <w:t>Claim</w:t>
            </w:r>
          </w:p>
        </w:tc>
        <w:tc>
          <w:tcPr>
            <w:tcW w:type="dxa" w:w="6060"/>
            <w:tcMar>
              <w:top w:w="80" w:type="dxa"/>
              <w:start w:w="120" w:type="dxa"/>
              <w:bottom w:w="80" w:type="dxa"/>
              <w:end w:w="120" w:type="dxa"/>
            </w:tcMar>
            <w:vAlign w:val="center"/>
            <w:shd w:fill="F2F4F7"/>
          </w:tcPr>
          <w:p>
            <w:pPr>
              <w:spacing w:after="0"/>
              <w:jc w:val="left"/>
            </w:pPr>
            <w:r>
              <w:rPr>
                <w:rFonts w:ascii="Calibri" w:hAnsi="Calibri"/>
                <w:b/>
                <w:color w:val="17365D"/>
                <w:sz w:val="19"/>
              </w:rPr>
              <w:t>Accurate clarification</w:t>
            </w:r>
          </w:p>
        </w:tc>
      </w:tr>
      <w:tr>
        <w:trPr>
          <w:cantSplit/>
        </w:trPr>
        <w:tc>
          <w:tcPr>
            <w:tcW w:type="dxa" w:w="3300"/>
            <w:shd w:fill="FBFCFD"/>
          </w:tcPr>
          <w:p>
            <w:pPr>
              <w:spacing w:after="0" w:line="252" w:lineRule="auto"/>
              <w:jc w:val="left"/>
            </w:pPr>
            <w:r>
              <w:rPr>
                <w:rFonts w:ascii="Calibri" w:hAnsi="Calibri"/>
                <w:color w:val="202833"/>
                <w:sz w:val="18"/>
              </w:rPr>
              <w:t>“Rise supports every cryptocurrency.”</w:t>
            </w:r>
          </w:p>
        </w:tc>
        <w:tc>
          <w:tcPr>
            <w:tcW w:type="dxa" w:w="6060"/>
            <w:shd w:fill="FBFCFD"/>
          </w:tcPr>
          <w:p>
            <w:pPr>
              <w:spacing w:after="0" w:line="252" w:lineRule="auto"/>
              <w:jc w:val="left"/>
            </w:pPr>
            <w:r>
              <w:rPr>
                <w:rFonts w:ascii="Calibri" w:hAnsi="Calibri"/>
                <w:color w:val="202833"/>
                <w:sz w:val="18"/>
              </w:rPr>
              <w:t>False. It is an Aptos wallet. Its broad token statement applies to Aptos-standard assets, not external native networks.</w:t>
            </w:r>
          </w:p>
        </w:tc>
      </w:tr>
      <w:tr>
        <w:trPr>
          <w:cantSplit/>
        </w:trPr>
        <w:tc>
          <w:tcPr>
            <w:tcW w:type="dxa" w:w="3300"/>
          </w:tcPr>
          <w:p>
            <w:pPr>
              <w:spacing w:after="0" w:line="252" w:lineRule="auto"/>
              <w:jc w:val="left"/>
            </w:pPr>
            <w:r>
              <w:rPr>
                <w:rFonts w:ascii="Calibri" w:hAnsi="Calibri"/>
                <w:color w:val="202833"/>
                <w:sz w:val="18"/>
              </w:rPr>
              <w:t>“If a token is on Aptos, Rise must support it.”</w:t>
            </w:r>
          </w:p>
        </w:tc>
        <w:tc>
          <w:tcPr>
            <w:tcW w:type="dxa" w:w="6060"/>
          </w:tcPr>
          <w:p>
            <w:pPr>
              <w:spacing w:after="0" w:line="252" w:lineRule="auto"/>
              <w:jc w:val="left"/>
            </w:pPr>
            <w:r>
              <w:rPr>
                <w:rFonts w:ascii="Calibri" w:hAnsi="Calibri"/>
                <w:color w:val="202833"/>
                <w:sz w:val="18"/>
              </w:rPr>
              <w:t>False. Ledger existence, discovery, metadata, transfer, swap, and pricing are separate capabilities.</w:t>
            </w:r>
          </w:p>
        </w:tc>
      </w:tr>
      <w:tr>
        <w:trPr>
          <w:cantSplit/>
        </w:trPr>
        <w:tc>
          <w:tcPr>
            <w:tcW w:type="dxa" w:w="3300"/>
            <w:shd w:fill="FBFCFD"/>
          </w:tcPr>
          <w:p>
            <w:pPr>
              <w:spacing w:after="0" w:line="252" w:lineRule="auto"/>
              <w:jc w:val="left"/>
            </w:pPr>
            <w:r>
              <w:rPr>
                <w:rFonts w:ascii="Calibri" w:hAnsi="Calibri"/>
                <w:color w:val="202833"/>
                <w:sz w:val="18"/>
              </w:rPr>
              <w:t>“USDC is always USDC.”</w:t>
            </w:r>
          </w:p>
        </w:tc>
        <w:tc>
          <w:tcPr>
            <w:tcW w:type="dxa" w:w="6060"/>
            <w:shd w:fill="FBFCFD"/>
          </w:tcPr>
          <w:p>
            <w:pPr>
              <w:spacing w:after="0" w:line="252" w:lineRule="auto"/>
              <w:jc w:val="left"/>
            </w:pPr>
            <w:r>
              <w:rPr>
                <w:rFonts w:ascii="Calibri" w:hAnsi="Calibri"/>
                <w:color w:val="202833"/>
                <w:sz w:val="18"/>
              </w:rPr>
              <w:t>False operationally. Native Aptos USDC is distinct from lzUSDC and from USDC on Ethereum, Solana, or other networks. [25][26]</w:t>
            </w:r>
          </w:p>
        </w:tc>
      </w:tr>
      <w:tr>
        <w:trPr>
          <w:cantSplit/>
        </w:trPr>
        <w:tc>
          <w:tcPr>
            <w:tcW w:type="dxa" w:w="3300"/>
          </w:tcPr>
          <w:p>
            <w:pPr>
              <w:spacing w:after="0" w:line="252" w:lineRule="auto"/>
              <w:jc w:val="left"/>
            </w:pPr>
            <w:r>
              <w:rPr>
                <w:rFonts w:ascii="Calibri" w:hAnsi="Calibri"/>
                <w:color w:val="202833"/>
                <w:sz w:val="18"/>
              </w:rPr>
              <w:t>“The symbol proves the token.”</w:t>
            </w:r>
          </w:p>
        </w:tc>
        <w:tc>
          <w:tcPr>
            <w:tcW w:type="dxa" w:w="6060"/>
          </w:tcPr>
          <w:p>
            <w:pPr>
              <w:spacing w:after="0" w:line="252" w:lineRule="auto"/>
              <w:jc w:val="left"/>
            </w:pPr>
            <w:r>
              <w:rPr>
                <w:rFonts w:ascii="Calibri" w:hAnsi="Calibri"/>
                <w:color w:val="202833"/>
                <w:sz w:val="18"/>
              </w:rPr>
              <w:t>False. Canonical identity is a Move type or metadata/object address plus network.</w:t>
            </w:r>
          </w:p>
        </w:tc>
      </w:tr>
      <w:tr>
        <w:trPr>
          <w:cantSplit/>
        </w:trPr>
        <w:tc>
          <w:tcPr>
            <w:tcW w:type="dxa" w:w="3300"/>
            <w:shd w:fill="FBFCFD"/>
          </w:tcPr>
          <w:p>
            <w:pPr>
              <w:spacing w:after="0" w:line="252" w:lineRule="auto"/>
              <w:jc w:val="left"/>
            </w:pPr>
            <w:r>
              <w:rPr>
                <w:rFonts w:ascii="Calibri" w:hAnsi="Calibri"/>
                <w:color w:val="202833"/>
                <w:sz w:val="18"/>
              </w:rPr>
              <w:t>“Self-custody means no third-party trust.”</w:t>
            </w:r>
          </w:p>
        </w:tc>
        <w:tc>
          <w:tcPr>
            <w:tcW w:type="dxa" w:w="6060"/>
            <w:shd w:fill="FBFCFD"/>
          </w:tcPr>
          <w:p>
            <w:pPr>
              <w:spacing w:after="0" w:line="252" w:lineRule="auto"/>
              <w:jc w:val="left"/>
            </w:pPr>
            <w:r>
              <w:rPr>
                <w:rFonts w:ascii="Calibri" w:hAnsi="Calibri"/>
                <w:color w:val="202833"/>
                <w:sz w:val="18"/>
              </w:rPr>
              <w:t>False. Keys are self-controlled, but RPC, indexer, app store, metadata, dApps, routes, and issuers remain trust boundaries.</w:t>
            </w:r>
          </w:p>
        </w:tc>
      </w:tr>
      <w:tr>
        <w:trPr>
          <w:cantSplit/>
        </w:trPr>
        <w:tc>
          <w:tcPr>
            <w:tcW w:type="dxa" w:w="3300"/>
          </w:tcPr>
          <w:p>
            <w:pPr>
              <w:spacing w:after="0" w:line="252" w:lineRule="auto"/>
              <w:jc w:val="left"/>
            </w:pPr>
            <w:r>
              <w:rPr>
                <w:rFonts w:ascii="Calibri" w:hAnsi="Calibri"/>
                <w:color w:val="202833"/>
                <w:sz w:val="18"/>
              </w:rPr>
              <w:t>“Simulation makes a transaction safe.”</w:t>
            </w:r>
          </w:p>
        </w:tc>
        <w:tc>
          <w:tcPr>
            <w:tcW w:type="dxa" w:w="6060"/>
          </w:tcPr>
          <w:p>
            <w:pPr>
              <w:spacing w:after="0" w:line="252" w:lineRule="auto"/>
              <w:jc w:val="left"/>
            </w:pPr>
            <w:r>
              <w:rPr>
                <w:rFonts w:ascii="Calibri" w:hAnsi="Calibri"/>
                <w:color w:val="202833"/>
                <w:sz w:val="18"/>
              </w:rPr>
              <w:t>False. It is a state-dependent preview and may not communicate every custom or future consequence.</w:t>
            </w:r>
          </w:p>
        </w:tc>
      </w:tr>
      <w:tr>
        <w:trPr>
          <w:cantSplit/>
        </w:trPr>
        <w:tc>
          <w:tcPr>
            <w:tcW w:type="dxa" w:w="3300"/>
            <w:shd w:fill="FBFCFD"/>
          </w:tcPr>
          <w:p>
            <w:pPr>
              <w:spacing w:after="0" w:line="252" w:lineRule="auto"/>
              <w:jc w:val="left"/>
            </w:pPr>
            <w:r>
              <w:rPr>
                <w:rFonts w:ascii="Calibri" w:hAnsi="Calibri"/>
                <w:color w:val="202833"/>
                <w:sz w:val="18"/>
              </w:rPr>
              <w:t>“A failed transaction costs nothing.”</w:t>
            </w:r>
          </w:p>
        </w:tc>
        <w:tc>
          <w:tcPr>
            <w:tcW w:type="dxa" w:w="6060"/>
            <w:shd w:fill="FBFCFD"/>
          </w:tcPr>
          <w:p>
            <w:pPr>
              <w:spacing w:after="0" w:line="252" w:lineRule="auto"/>
              <w:jc w:val="left"/>
            </w:pPr>
            <w:r>
              <w:rPr>
                <w:rFonts w:ascii="Calibri" w:hAnsi="Calibri"/>
                <w:color w:val="202833"/>
                <w:sz w:val="18"/>
              </w:rPr>
              <w:t>False. Committed aborts can consume gas.</w:t>
            </w:r>
          </w:p>
        </w:tc>
      </w:tr>
      <w:tr>
        <w:trPr>
          <w:cantSplit/>
        </w:trPr>
        <w:tc>
          <w:tcPr>
            <w:tcW w:type="dxa" w:w="3300"/>
          </w:tcPr>
          <w:p>
            <w:pPr>
              <w:spacing w:after="0" w:line="252" w:lineRule="auto"/>
              <w:jc w:val="left"/>
            </w:pPr>
            <w:r>
              <w:rPr>
                <w:rFonts w:ascii="Calibri" w:hAnsi="Calibri"/>
                <w:color w:val="202833"/>
                <w:sz w:val="18"/>
              </w:rPr>
              <w:t>“The app password recovers the wallet.”</w:t>
            </w:r>
          </w:p>
        </w:tc>
        <w:tc>
          <w:tcPr>
            <w:tcW w:type="dxa" w:w="6060"/>
          </w:tcPr>
          <w:p>
            <w:pPr>
              <w:spacing w:after="0" w:line="252" w:lineRule="auto"/>
              <w:jc w:val="left"/>
            </w:pPr>
            <w:r>
              <w:rPr>
                <w:rFonts w:ascii="Calibri" w:hAnsi="Calibri"/>
                <w:color w:val="202833"/>
                <w:sz w:val="18"/>
              </w:rPr>
              <w:t>False. It protects the local installation; the mnemonic/private key and authentication state control recovery.</w:t>
            </w:r>
          </w:p>
        </w:tc>
      </w:tr>
      <w:tr>
        <w:trPr>
          <w:cantSplit/>
        </w:trPr>
        <w:tc>
          <w:tcPr>
            <w:tcW w:type="dxa" w:w="3300"/>
            <w:shd w:fill="FBFCFD"/>
          </w:tcPr>
          <w:p>
            <w:pPr>
              <w:spacing w:after="0" w:line="252" w:lineRule="auto"/>
              <w:jc w:val="left"/>
            </w:pPr>
            <w:r>
              <w:rPr>
                <w:rFonts w:ascii="Calibri" w:hAnsi="Calibri"/>
                <w:color w:val="202833"/>
                <w:sz w:val="18"/>
              </w:rPr>
              <w:t>“Deleting Rise deletes the assets.”</w:t>
            </w:r>
          </w:p>
        </w:tc>
        <w:tc>
          <w:tcPr>
            <w:tcW w:type="dxa" w:w="6060"/>
            <w:shd w:fill="FBFCFD"/>
          </w:tcPr>
          <w:p>
            <w:pPr>
              <w:spacing w:after="0" w:line="252" w:lineRule="auto"/>
              <w:jc w:val="left"/>
            </w:pPr>
            <w:r>
              <w:rPr>
                <w:rFonts w:ascii="Calibri" w:hAnsi="Calibri"/>
                <w:color w:val="202833"/>
                <w:sz w:val="18"/>
              </w:rPr>
              <w:t>False. Assets remain on Aptos; deletion removes local access data.</w:t>
            </w:r>
          </w:p>
        </w:tc>
      </w:tr>
      <w:tr>
        <w:trPr>
          <w:cantSplit/>
        </w:trPr>
        <w:tc>
          <w:tcPr>
            <w:tcW w:type="dxa" w:w="3300"/>
          </w:tcPr>
          <w:p>
            <w:pPr>
              <w:spacing w:after="0" w:line="252" w:lineRule="auto"/>
              <w:jc w:val="left"/>
            </w:pPr>
            <w:r>
              <w:rPr>
                <w:rFonts w:ascii="Calibri" w:hAnsi="Calibri"/>
                <w:color w:val="202833"/>
                <w:sz w:val="18"/>
              </w:rPr>
              <w:t>“The provider can restore a lost seed.”</w:t>
            </w:r>
          </w:p>
        </w:tc>
        <w:tc>
          <w:tcPr>
            <w:tcW w:type="dxa" w:w="6060"/>
          </w:tcPr>
          <w:p>
            <w:pPr>
              <w:spacing w:after="0" w:line="252" w:lineRule="auto"/>
              <w:jc w:val="left"/>
            </w:pPr>
            <w:r>
              <w:rPr>
                <w:rFonts w:ascii="Calibri" w:hAnsi="Calibri"/>
                <w:color w:val="202833"/>
                <w:sz w:val="18"/>
              </w:rPr>
              <w:t>False for a non-custodial design. Rise explicitly says it cannot recover lost or stolen assets. [1]</w:t>
            </w:r>
          </w:p>
        </w:tc>
      </w:tr>
      <w:tr>
        <w:trPr>
          <w:cantSplit/>
        </w:trPr>
        <w:tc>
          <w:tcPr>
            <w:tcW w:type="dxa" w:w="3300"/>
            <w:shd w:fill="FBFCFD"/>
          </w:tcPr>
          <w:p>
            <w:pPr>
              <w:spacing w:after="0" w:line="252" w:lineRule="auto"/>
              <w:jc w:val="left"/>
            </w:pPr>
            <w:r>
              <w:rPr>
                <w:rFonts w:ascii="Calibri" w:hAnsi="Calibri"/>
                <w:color w:val="202833"/>
                <w:sz w:val="18"/>
              </w:rPr>
              <w:t>“A .apt name cannot be wrong.”</w:t>
            </w:r>
          </w:p>
        </w:tc>
        <w:tc>
          <w:tcPr>
            <w:tcW w:type="dxa" w:w="6060"/>
            <w:shd w:fill="FBFCFD"/>
          </w:tcPr>
          <w:p>
            <w:pPr>
              <w:spacing w:after="0" w:line="252" w:lineRule="auto"/>
              <w:jc w:val="left"/>
            </w:pPr>
            <w:r>
              <w:rPr>
                <w:rFonts w:ascii="Calibri" w:hAnsi="Calibri"/>
                <w:color w:val="202833"/>
                <w:sz w:val="18"/>
              </w:rPr>
              <w:t>False. Names can expire and resolution must be checked at transaction time. [33]</w:t>
            </w:r>
          </w:p>
        </w:tc>
      </w:tr>
      <w:tr>
        <w:trPr>
          <w:cantSplit/>
        </w:trPr>
        <w:tc>
          <w:tcPr>
            <w:tcW w:type="dxa" w:w="3300"/>
          </w:tcPr>
          <w:p>
            <w:pPr>
              <w:spacing w:after="0" w:line="252" w:lineRule="auto"/>
              <w:jc w:val="left"/>
            </w:pPr>
            <w:r>
              <w:rPr>
                <w:rFonts w:ascii="Calibri" w:hAnsi="Calibri"/>
                <w:color w:val="202833"/>
                <w:sz w:val="18"/>
              </w:rPr>
              <w:t>“The official website proves the app is maintained.”</w:t>
            </w:r>
          </w:p>
        </w:tc>
        <w:tc>
          <w:tcPr>
            <w:tcW w:type="dxa" w:w="6060"/>
          </w:tcPr>
          <w:p>
            <w:pPr>
              <w:spacing w:after="0" w:line="252" w:lineRule="auto"/>
              <w:jc w:val="left"/>
            </w:pPr>
            <w:r>
              <w:rPr>
                <w:rFonts w:ascii="Calibri" w:hAnsi="Calibri"/>
                <w:color w:val="202833"/>
                <w:sz w:val="18"/>
              </w:rPr>
              <w:t>False. Presence and current security maintenance are different evidence categories.</w:t>
            </w:r>
          </w:p>
        </w:tc>
      </w:tr>
      <w:tr>
        <w:trPr>
          <w:cantSplit/>
        </w:trPr>
        <w:tc>
          <w:tcPr>
            <w:tcW w:type="dxa" w:w="3300"/>
            <w:shd w:fill="FBFCFD"/>
          </w:tcPr>
          <w:p>
            <w:pPr>
              <w:spacing w:after="0" w:line="252" w:lineRule="auto"/>
              <w:jc w:val="left"/>
            </w:pPr>
            <w:r>
              <w:rPr>
                <w:rFonts w:ascii="Calibri" w:hAnsi="Calibri"/>
                <w:color w:val="202833"/>
                <w:sz w:val="18"/>
              </w:rPr>
              <w:t>“Old wallet documentation is still technically exact.”</w:t>
            </w:r>
          </w:p>
        </w:tc>
        <w:tc>
          <w:tcPr>
            <w:tcW w:type="dxa" w:w="6060"/>
            <w:shd w:fill="FBFCFD"/>
          </w:tcPr>
          <w:p>
            <w:pPr>
              <w:spacing w:after="0" w:line="252" w:lineRule="auto"/>
              <w:jc w:val="left"/>
            </w:pPr>
            <w:r>
              <w:rPr>
                <w:rFonts w:ascii="Calibri" w:hAnsi="Calibri"/>
                <w:color w:val="202833"/>
                <w:sz w:val="18"/>
              </w:rPr>
              <w:t>False. Coin/Token and legacy adapter examples can be obsolete under current FA/DA/AIP-62 standards.</w:t>
            </w:r>
          </w:p>
        </w:tc>
      </w:tr>
      <w:tr>
        <w:trPr>
          <w:cantSplit/>
        </w:trPr>
        <w:tc>
          <w:tcPr>
            <w:tcW w:type="dxa" w:w="3300"/>
          </w:tcPr>
          <w:p>
            <w:pPr>
              <w:spacing w:after="0" w:line="252" w:lineRule="auto"/>
              <w:jc w:val="left"/>
            </w:pPr>
            <w:r>
              <w:rPr>
                <w:rFonts w:ascii="Calibri" w:hAnsi="Calibri"/>
                <w:color w:val="202833"/>
                <w:sz w:val="18"/>
              </w:rPr>
              <w:t>“A restored address always means the seed can spend.”</w:t>
            </w:r>
          </w:p>
        </w:tc>
        <w:tc>
          <w:tcPr>
            <w:tcW w:type="dxa" w:w="6060"/>
          </w:tcPr>
          <w:p>
            <w:pPr>
              <w:spacing w:after="0" w:line="252" w:lineRule="auto"/>
              <w:jc w:val="left"/>
            </w:pPr>
            <w:r>
              <w:rPr>
                <w:rFonts w:ascii="Calibri" w:hAnsi="Calibri"/>
                <w:color w:val="202833"/>
                <w:sz w:val="18"/>
              </w:rPr>
              <w:t>False after Aptos key rotation; the permanent address can outlive the original authentication key.</w:t>
            </w:r>
          </w:p>
        </w:tc>
      </w:tr>
    </w:tbl>
    <w:p>
      <w:pPr>
        <w:widowControl/>
        <w:spacing w:after="0"/>
      </w:pPr>
    </w:p>
    <w:p>
      <w:pPr>
        <w:pStyle w:val="Heading1"/>
        <w:keepNext/>
        <w:pageBreakBefore/>
        <w:widowControl/>
      </w:pPr>
      <w:r>
        <w:t>23. Overall assessment and recommendation</w:t>
      </w:r>
    </w:p>
    <w:p>
      <w:pPr>
        <w:pStyle w:val="Heading2"/>
        <w:keepNext/>
        <w:widowControl/>
      </w:pPr>
      <w:r>
        <w:t>23.1 Scorecard</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1950"/>
        <w:gridCol w:w="3100"/>
        <w:gridCol w:w="4310"/>
      </w:tblGrid>
      <w:tr>
        <w:trPr>
          <w:tblHeader w:val="true"/>
        </w:trPr>
        <w:tc>
          <w:tcPr>
            <w:tcW w:type="dxa" w:w="1950"/>
            <w:tcMar>
              <w:top w:w="80" w:type="dxa"/>
              <w:start w:w="120" w:type="dxa"/>
              <w:bottom w:w="80" w:type="dxa"/>
              <w:end w:w="120" w:type="dxa"/>
            </w:tcMar>
            <w:vAlign w:val="center"/>
            <w:shd w:fill="F2F4F7"/>
          </w:tcPr>
          <w:p>
            <w:pPr>
              <w:spacing w:after="0"/>
              <w:jc w:val="left"/>
            </w:pPr>
            <w:r>
              <w:rPr>
                <w:rFonts w:ascii="Calibri" w:hAnsi="Calibri"/>
                <w:b/>
                <w:color w:val="17365D"/>
                <w:sz w:val="19"/>
              </w:rPr>
              <w:t>Criterion</w:t>
            </w:r>
          </w:p>
        </w:tc>
        <w:tc>
          <w:tcPr>
            <w:tcW w:type="dxa" w:w="3100"/>
            <w:tcMar>
              <w:top w:w="80" w:type="dxa"/>
              <w:start w:w="120" w:type="dxa"/>
              <w:bottom w:w="80" w:type="dxa"/>
              <w:end w:w="120" w:type="dxa"/>
            </w:tcMar>
            <w:vAlign w:val="center"/>
            <w:shd w:fill="F2F4F7"/>
          </w:tcPr>
          <w:p>
            <w:pPr>
              <w:spacing w:after="0"/>
              <w:jc w:val="left"/>
            </w:pPr>
            <w:r>
              <w:rPr>
                <w:rFonts w:ascii="Calibri" w:hAnsi="Calibri"/>
                <w:b/>
                <w:color w:val="17365D"/>
                <w:sz w:val="19"/>
              </w:rPr>
              <w:t>Assessment as of 30 August 2026</w:t>
            </w:r>
          </w:p>
        </w:tc>
        <w:tc>
          <w:tcPr>
            <w:tcW w:type="dxa" w:w="4310"/>
            <w:tcMar>
              <w:top w:w="80" w:type="dxa"/>
              <w:start w:w="120" w:type="dxa"/>
              <w:bottom w:w="80" w:type="dxa"/>
              <w:end w:w="120" w:type="dxa"/>
            </w:tcMar>
            <w:vAlign w:val="center"/>
            <w:shd w:fill="F2F4F7"/>
          </w:tcPr>
          <w:p>
            <w:pPr>
              <w:spacing w:after="0"/>
              <w:jc w:val="left"/>
            </w:pPr>
            <w:r>
              <w:rPr>
                <w:rFonts w:ascii="Calibri" w:hAnsi="Calibri"/>
                <w:b/>
                <w:color w:val="17365D"/>
                <w:sz w:val="19"/>
              </w:rPr>
              <w:t>Comment</w:t>
            </w:r>
          </w:p>
        </w:tc>
      </w:tr>
      <w:tr>
        <w:trPr>
          <w:cantSplit/>
        </w:trPr>
        <w:tc>
          <w:tcPr>
            <w:tcW w:type="dxa" w:w="1950"/>
            <w:shd w:fill="FBFCFD"/>
          </w:tcPr>
          <w:p>
            <w:pPr>
              <w:spacing w:after="0" w:line="252" w:lineRule="auto"/>
              <w:jc w:val="left"/>
            </w:pPr>
            <w:r>
              <w:rPr>
                <w:rFonts w:ascii="Calibri" w:hAnsi="Calibri"/>
                <w:color w:val="202833"/>
                <w:sz w:val="18"/>
              </w:rPr>
              <w:t>Product clarity</w:t>
            </w:r>
          </w:p>
        </w:tc>
        <w:tc>
          <w:tcPr>
            <w:tcW w:type="dxa" w:w="3100"/>
            <w:shd w:fill="FBFCFD"/>
          </w:tcPr>
          <w:p>
            <w:pPr>
              <w:spacing w:after="0" w:line="252" w:lineRule="auto"/>
              <w:jc w:val="left"/>
            </w:pPr>
            <w:r>
              <w:rPr>
                <w:rFonts w:ascii="Calibri" w:hAnsi="Calibri"/>
                <w:color w:val="202833"/>
                <w:sz w:val="18"/>
              </w:rPr>
              <w:t>Strong</w:t>
            </w:r>
          </w:p>
        </w:tc>
        <w:tc>
          <w:tcPr>
            <w:tcW w:type="dxa" w:w="4310"/>
            <w:shd w:fill="FBFCFD"/>
          </w:tcPr>
          <w:p>
            <w:pPr>
              <w:spacing w:after="0" w:line="252" w:lineRule="auto"/>
              <w:jc w:val="left"/>
            </w:pPr>
            <w:r>
              <w:rPr>
                <w:rFonts w:ascii="Calibri" w:hAnsi="Calibri"/>
                <w:color w:val="202833"/>
                <w:sz w:val="18"/>
              </w:rPr>
              <w:t>The official materials clearly position Rise as an Aptos self-custody wallet.</w:t>
            </w:r>
          </w:p>
        </w:tc>
      </w:tr>
      <w:tr>
        <w:trPr>
          <w:cantSplit/>
        </w:trPr>
        <w:tc>
          <w:tcPr>
            <w:tcW w:type="dxa" w:w="1950"/>
          </w:tcPr>
          <w:p>
            <w:pPr>
              <w:spacing w:after="0" w:line="252" w:lineRule="auto"/>
              <w:jc w:val="left"/>
            </w:pPr>
            <w:r>
              <w:rPr>
                <w:rFonts w:ascii="Calibri" w:hAnsi="Calibri"/>
                <w:color w:val="202833"/>
                <w:sz w:val="18"/>
              </w:rPr>
              <w:t>Asset-scope clarity</w:t>
            </w:r>
          </w:p>
        </w:tc>
        <w:tc>
          <w:tcPr>
            <w:tcW w:type="dxa" w:w="3100"/>
          </w:tcPr>
          <w:p>
            <w:pPr>
              <w:spacing w:after="0" w:line="252" w:lineRule="auto"/>
              <w:jc w:val="left"/>
            </w:pPr>
            <w:r>
              <w:rPr>
                <w:rFonts w:ascii="Calibri" w:hAnsi="Calibri"/>
                <w:color w:val="202833"/>
                <w:sz w:val="18"/>
              </w:rPr>
              <w:t>Moderate</w:t>
            </w:r>
          </w:p>
        </w:tc>
        <w:tc>
          <w:tcPr>
            <w:tcW w:type="dxa" w:w="4310"/>
          </w:tcPr>
          <w:p>
            <w:pPr>
              <w:spacing w:after="0" w:line="252" w:lineRule="auto"/>
              <w:jc w:val="left"/>
            </w:pPr>
            <w:r>
              <w:rPr>
                <w:rFonts w:ascii="Calibri" w:hAnsi="Calibri"/>
                <w:color w:val="202833"/>
                <w:sz w:val="18"/>
              </w:rPr>
              <w:t>APT and Aptos-standard tokens are stated, but no current implementation matrix exists.</w:t>
            </w:r>
          </w:p>
        </w:tc>
      </w:tr>
      <w:tr>
        <w:trPr>
          <w:cantSplit/>
        </w:trPr>
        <w:tc>
          <w:tcPr>
            <w:tcW w:type="dxa" w:w="1950"/>
            <w:shd w:fill="FBFCFD"/>
          </w:tcPr>
          <w:p>
            <w:pPr>
              <w:spacing w:after="0" w:line="252" w:lineRule="auto"/>
              <w:jc w:val="left"/>
            </w:pPr>
            <w:r>
              <w:rPr>
                <w:rFonts w:ascii="Calibri" w:hAnsi="Calibri"/>
                <w:color w:val="202833"/>
                <w:sz w:val="18"/>
              </w:rPr>
              <w:t>Historical usability design</w:t>
            </w:r>
          </w:p>
        </w:tc>
        <w:tc>
          <w:tcPr>
            <w:tcW w:type="dxa" w:w="3100"/>
            <w:shd w:fill="FBFCFD"/>
          </w:tcPr>
          <w:p>
            <w:pPr>
              <w:spacing w:after="0" w:line="252" w:lineRule="auto"/>
              <w:jc w:val="left"/>
            </w:pPr>
            <w:r>
              <w:rPr>
                <w:rFonts w:ascii="Calibri" w:hAnsi="Calibri"/>
                <w:color w:val="202833"/>
                <w:sz w:val="18"/>
              </w:rPr>
              <w:t>Strong</w:t>
            </w:r>
          </w:p>
        </w:tc>
        <w:tc>
          <w:tcPr>
            <w:tcW w:type="dxa" w:w="4310"/>
            <w:shd w:fill="FBFCFD"/>
          </w:tcPr>
          <w:p>
            <w:pPr>
              <w:spacing w:after="0" w:line="252" w:lineRule="auto"/>
              <w:jc w:val="left"/>
            </w:pPr>
            <w:r>
              <w:rPr>
                <w:rFonts w:ascii="Calibri" w:hAnsi="Calibri"/>
                <w:color w:val="202833"/>
                <w:sz w:val="18"/>
              </w:rPr>
              <w:t>Simulation, readable activity, NFTs, notifications, full-screen, and mobile were user-focused.</w:t>
            </w:r>
          </w:p>
        </w:tc>
      </w:tr>
      <w:tr>
        <w:trPr>
          <w:cantSplit/>
        </w:trPr>
        <w:tc>
          <w:tcPr>
            <w:tcW w:type="dxa" w:w="1950"/>
          </w:tcPr>
          <w:p>
            <w:pPr>
              <w:spacing w:after="0" w:line="252" w:lineRule="auto"/>
              <w:jc w:val="left"/>
            </w:pPr>
            <w:r>
              <w:rPr>
                <w:rFonts w:ascii="Calibri" w:hAnsi="Calibri"/>
                <w:color w:val="202833"/>
                <w:sz w:val="18"/>
              </w:rPr>
              <w:t>Current maintenance evidence</w:t>
            </w:r>
          </w:p>
        </w:tc>
        <w:tc>
          <w:tcPr>
            <w:tcW w:type="dxa" w:w="3100"/>
          </w:tcPr>
          <w:p>
            <w:pPr>
              <w:spacing w:after="0" w:line="252" w:lineRule="auto"/>
              <w:jc w:val="left"/>
            </w:pPr>
            <w:r>
              <w:rPr>
                <w:rFonts w:ascii="Calibri" w:hAnsi="Calibri"/>
                <w:color w:val="202833"/>
                <w:sz w:val="18"/>
              </w:rPr>
              <w:t>Weak</w:t>
            </w:r>
          </w:p>
        </w:tc>
        <w:tc>
          <w:tcPr>
            <w:tcW w:type="dxa" w:w="4310"/>
          </w:tcPr>
          <w:p>
            <w:pPr>
              <w:spacing w:after="0" w:line="252" w:lineRule="auto"/>
              <w:jc w:val="left"/>
            </w:pPr>
            <w:r>
              <w:rPr>
                <w:rFonts w:ascii="Calibri" w:hAnsi="Calibri"/>
                <w:color w:val="202833"/>
                <w:sz w:val="18"/>
              </w:rPr>
              <w:t>Verified public versions and documentation date from 2022-2023.</w:t>
            </w:r>
          </w:p>
        </w:tc>
      </w:tr>
      <w:tr>
        <w:trPr>
          <w:cantSplit/>
        </w:trPr>
        <w:tc>
          <w:tcPr>
            <w:tcW w:type="dxa" w:w="1950"/>
            <w:shd w:fill="FBFCFD"/>
          </w:tcPr>
          <w:p>
            <w:pPr>
              <w:spacing w:after="0" w:line="252" w:lineRule="auto"/>
              <w:jc w:val="left"/>
            </w:pPr>
            <w:r>
              <w:rPr>
                <w:rFonts w:ascii="Calibri" w:hAnsi="Calibri"/>
                <w:color w:val="202833"/>
                <w:sz w:val="18"/>
              </w:rPr>
              <w:t>Current FA/DA compatibility evidence</w:t>
            </w:r>
          </w:p>
        </w:tc>
        <w:tc>
          <w:tcPr>
            <w:tcW w:type="dxa" w:w="3100"/>
            <w:shd w:fill="FBFCFD"/>
          </w:tcPr>
          <w:p>
            <w:pPr>
              <w:spacing w:after="0" w:line="252" w:lineRule="auto"/>
              <w:jc w:val="left"/>
            </w:pPr>
            <w:r>
              <w:rPr>
                <w:rFonts w:ascii="Calibri" w:hAnsi="Calibri"/>
                <w:color w:val="202833"/>
                <w:sz w:val="18"/>
              </w:rPr>
              <w:t>Weak</w:t>
            </w:r>
          </w:p>
        </w:tc>
        <w:tc>
          <w:tcPr>
            <w:tcW w:type="dxa" w:w="4310"/>
            <w:shd w:fill="FBFCFD"/>
          </w:tcPr>
          <w:p>
            <w:pPr>
              <w:spacing w:after="0" w:line="252" w:lineRule="auto"/>
              <w:jc w:val="left"/>
            </w:pPr>
            <w:r>
              <w:rPr>
                <w:rFonts w:ascii="Calibri" w:hAnsi="Calibri"/>
                <w:color w:val="202833"/>
                <w:sz w:val="18"/>
              </w:rPr>
              <w:t>No reviewed current Rise source proves post-migration FA/DFA and modern DA support.</w:t>
            </w:r>
          </w:p>
        </w:tc>
      </w:tr>
      <w:tr>
        <w:trPr>
          <w:cantSplit/>
        </w:trPr>
        <w:tc>
          <w:tcPr>
            <w:tcW w:type="dxa" w:w="1950"/>
          </w:tcPr>
          <w:p>
            <w:pPr>
              <w:spacing w:after="0" w:line="252" w:lineRule="auto"/>
              <w:jc w:val="left"/>
            </w:pPr>
            <w:r>
              <w:rPr>
                <w:rFonts w:ascii="Calibri" w:hAnsi="Calibri"/>
                <w:color w:val="202833"/>
                <w:sz w:val="18"/>
              </w:rPr>
              <w:t>Current dApp compatibility evidence</w:t>
            </w:r>
          </w:p>
        </w:tc>
        <w:tc>
          <w:tcPr>
            <w:tcW w:type="dxa" w:w="3100"/>
          </w:tcPr>
          <w:p>
            <w:pPr>
              <w:spacing w:after="0" w:line="252" w:lineRule="auto"/>
              <w:jc w:val="left"/>
            </w:pPr>
            <w:r>
              <w:rPr>
                <w:rFonts w:ascii="Calibri" w:hAnsi="Calibri"/>
                <w:color w:val="202833"/>
                <w:sz w:val="18"/>
              </w:rPr>
              <w:t>Weak</w:t>
            </w:r>
          </w:p>
        </w:tc>
        <w:tc>
          <w:tcPr>
            <w:tcW w:type="dxa" w:w="4310"/>
          </w:tcPr>
          <w:p>
            <w:pPr>
              <w:spacing w:after="0" w:line="252" w:lineRule="auto"/>
              <w:jc w:val="left"/>
            </w:pPr>
            <w:r>
              <w:rPr>
                <w:rFonts w:ascii="Calibri" w:hAnsi="Calibri"/>
                <w:color w:val="202833"/>
                <w:sz w:val="18"/>
              </w:rPr>
              <w:t>Public integration docs use legacy @manahippo/window.rise rather than current AIP-62.</w:t>
            </w:r>
          </w:p>
        </w:tc>
      </w:tr>
      <w:tr>
        <w:trPr>
          <w:cantSplit/>
        </w:trPr>
        <w:tc>
          <w:tcPr>
            <w:tcW w:type="dxa" w:w="1950"/>
            <w:shd w:fill="FBFCFD"/>
          </w:tcPr>
          <w:p>
            <w:pPr>
              <w:spacing w:after="0" w:line="252" w:lineRule="auto"/>
              <w:jc w:val="left"/>
            </w:pPr>
            <w:r>
              <w:rPr>
                <w:rFonts w:ascii="Calibri" w:hAnsi="Calibri"/>
                <w:color w:val="202833"/>
                <w:sz w:val="18"/>
              </w:rPr>
              <w:t>Key custody model</w:t>
            </w:r>
          </w:p>
        </w:tc>
        <w:tc>
          <w:tcPr>
            <w:tcW w:type="dxa" w:w="3100"/>
            <w:shd w:fill="FBFCFD"/>
          </w:tcPr>
          <w:p>
            <w:pPr>
              <w:spacing w:after="0" w:line="252" w:lineRule="auto"/>
              <w:jc w:val="left"/>
            </w:pPr>
            <w:r>
              <w:rPr>
                <w:rFonts w:ascii="Calibri" w:hAnsi="Calibri"/>
                <w:color w:val="202833"/>
                <w:sz w:val="18"/>
              </w:rPr>
              <w:t>Moderate to strong</w:t>
            </w:r>
          </w:p>
        </w:tc>
        <w:tc>
          <w:tcPr>
            <w:tcW w:type="dxa" w:w="4310"/>
            <w:shd w:fill="FBFCFD"/>
          </w:tcPr>
          <w:p>
            <w:pPr>
              <w:spacing w:after="0" w:line="252" w:lineRule="auto"/>
              <w:jc w:val="left"/>
            </w:pPr>
            <w:r>
              <w:rPr>
                <w:rFonts w:ascii="Calibri" w:hAnsi="Calibri"/>
                <w:color w:val="202833"/>
                <w:sz w:val="18"/>
              </w:rPr>
              <w:t>Self-custody and recoverability are conceptually sound, subject to software and device security.</w:t>
            </w:r>
          </w:p>
        </w:tc>
      </w:tr>
      <w:tr>
        <w:trPr>
          <w:cantSplit/>
        </w:trPr>
        <w:tc>
          <w:tcPr>
            <w:tcW w:type="dxa" w:w="1950"/>
          </w:tcPr>
          <w:p>
            <w:pPr>
              <w:spacing w:after="0" w:line="252" w:lineRule="auto"/>
              <w:jc w:val="left"/>
            </w:pPr>
            <w:r>
              <w:rPr>
                <w:rFonts w:ascii="Calibri" w:hAnsi="Calibri"/>
                <w:color w:val="202833"/>
                <w:sz w:val="18"/>
              </w:rPr>
              <w:t>Hardware/advanced account evidence</w:t>
            </w:r>
          </w:p>
        </w:tc>
        <w:tc>
          <w:tcPr>
            <w:tcW w:type="dxa" w:w="3100"/>
          </w:tcPr>
          <w:p>
            <w:pPr>
              <w:spacing w:after="0" w:line="252" w:lineRule="auto"/>
              <w:jc w:val="left"/>
            </w:pPr>
            <w:r>
              <w:rPr>
                <w:rFonts w:ascii="Calibri" w:hAnsi="Calibri"/>
                <w:color w:val="202833"/>
                <w:sz w:val="18"/>
              </w:rPr>
              <w:t>Weak</w:t>
            </w:r>
          </w:p>
        </w:tc>
        <w:tc>
          <w:tcPr>
            <w:tcW w:type="dxa" w:w="4310"/>
          </w:tcPr>
          <w:p>
            <w:pPr>
              <w:spacing w:after="0" w:line="252" w:lineRule="auto"/>
              <w:jc w:val="left"/>
            </w:pPr>
            <w:r>
              <w:rPr>
                <w:rFonts w:ascii="Calibri" w:hAnsi="Calibri"/>
                <w:color w:val="202833"/>
                <w:sz w:val="18"/>
              </w:rPr>
              <w:t>No official current evidence found for Ledger, MultiKey, keyless, sponsored, or orderless features.</w:t>
            </w:r>
          </w:p>
        </w:tc>
      </w:tr>
      <w:tr>
        <w:trPr>
          <w:cantSplit/>
        </w:trPr>
        <w:tc>
          <w:tcPr>
            <w:tcW w:type="dxa" w:w="1950"/>
            <w:shd w:fill="FBFCFD"/>
          </w:tcPr>
          <w:p>
            <w:pPr>
              <w:spacing w:after="0" w:line="252" w:lineRule="auto"/>
              <w:jc w:val="left"/>
            </w:pPr>
            <w:r>
              <w:rPr>
                <w:rFonts w:ascii="Calibri" w:hAnsi="Calibri"/>
                <w:color w:val="202833"/>
                <w:sz w:val="18"/>
              </w:rPr>
              <w:t>Privacy transparency</w:t>
            </w:r>
          </w:p>
        </w:tc>
        <w:tc>
          <w:tcPr>
            <w:tcW w:type="dxa" w:w="3100"/>
            <w:shd w:fill="FBFCFD"/>
          </w:tcPr>
          <w:p>
            <w:pPr>
              <w:spacing w:after="0" w:line="252" w:lineRule="auto"/>
              <w:jc w:val="left"/>
            </w:pPr>
            <w:r>
              <w:rPr>
                <w:rFonts w:ascii="Calibri" w:hAnsi="Calibri"/>
                <w:color w:val="202833"/>
                <w:sz w:val="18"/>
              </w:rPr>
              <w:t>Moderate to weak</w:t>
            </w:r>
          </w:p>
        </w:tc>
        <w:tc>
          <w:tcPr>
            <w:tcW w:type="dxa" w:w="4310"/>
            <w:shd w:fill="FBFCFD"/>
          </w:tcPr>
          <w:p>
            <w:pPr>
              <w:spacing w:after="0" w:line="252" w:lineRule="auto"/>
              <w:jc w:val="left"/>
            </w:pPr>
            <w:r>
              <w:rPr>
                <w:rFonts w:ascii="Calibri" w:hAnsi="Calibri"/>
                <w:color w:val="202833"/>
                <w:sz w:val="18"/>
              </w:rPr>
              <w:t>Policy is broad and old; store declarations are not fully aligned.</w:t>
            </w:r>
          </w:p>
        </w:tc>
      </w:tr>
      <w:tr>
        <w:trPr>
          <w:cantSplit/>
        </w:trPr>
        <w:tc>
          <w:tcPr>
            <w:tcW w:type="dxa" w:w="1950"/>
          </w:tcPr>
          <w:p>
            <w:pPr>
              <w:spacing w:after="0" w:line="252" w:lineRule="auto"/>
              <w:jc w:val="left"/>
            </w:pPr>
            <w:r>
              <w:rPr>
                <w:rFonts w:ascii="Calibri" w:hAnsi="Calibri"/>
                <w:color w:val="202833"/>
                <w:sz w:val="18"/>
              </w:rPr>
              <w:t>High-value suitability</w:t>
            </w:r>
          </w:p>
        </w:tc>
        <w:tc>
          <w:tcPr>
            <w:tcW w:type="dxa" w:w="3100"/>
          </w:tcPr>
          <w:p>
            <w:pPr>
              <w:spacing w:after="0" w:line="252" w:lineRule="auto"/>
              <w:jc w:val="left"/>
            </w:pPr>
            <w:r>
              <w:rPr>
                <w:rFonts w:ascii="Calibri" w:hAnsi="Calibri"/>
                <w:color w:val="202833"/>
                <w:sz w:val="18"/>
              </w:rPr>
              <w:t>Low</w:t>
            </w:r>
          </w:p>
        </w:tc>
        <w:tc>
          <w:tcPr>
            <w:tcW w:type="dxa" w:w="4310"/>
          </w:tcPr>
          <w:p>
            <w:pPr>
              <w:spacing w:after="0" w:line="252" w:lineRule="auto"/>
              <w:jc w:val="left"/>
            </w:pPr>
            <w:r>
              <w:rPr>
                <w:rFonts w:ascii="Calibri" w:hAnsi="Calibri"/>
                <w:color w:val="202833"/>
                <w:sz w:val="18"/>
              </w:rPr>
              <w:t>Long update gap and compatibility uncertainty are unacceptable without independent verification.</w:t>
            </w:r>
          </w:p>
        </w:tc>
      </w:tr>
    </w:tbl>
    <w:p>
      <w:pPr>
        <w:widowControl/>
        <w:spacing w:after="0"/>
      </w:pPr>
    </w:p>
    <w:p>
      <w:pPr>
        <w:pStyle w:val="Heading2"/>
        <w:keepNext/>
        <w:widowControl/>
      </w:pPr>
      <w:r>
        <w:t>23.2 Recommended decision</w:t>
      </w:r>
    </w:p>
    <w:p>
      <w:pPr>
        <w:widowControl/>
      </w:pPr>
      <w:r>
        <w:rPr>
          <w:rFonts w:ascii="Calibri" w:hAnsi="Calibri"/>
          <w:color w:val="202833"/>
        </w:rPr>
        <w:t>For a new user in 2026, Rise should not be the default choice for substantial funds unless its maintainers publish a current release, security posture, AIP-62 compatibility, FA/DA support matrix, and clear migration documentation. A currently maintained Aptos wallet with modern standard support, transparent release history, and preferably hardware or multisig options is the safer baseline.</w:t>
      </w:r>
    </w:p>
    <w:p>
      <w:pPr>
        <w:widowControl/>
      </w:pPr>
      <w:r>
        <w:rPr>
          <w:rFonts w:ascii="Calibri" w:hAnsi="Calibri"/>
          <w:color w:val="202833"/>
        </w:rPr>
        <w:t>For an existing user, the immediate priority is not panic but controlled verification: secure and test the recovery material; inventory every derived address; inspect assets and protocol positions through a current independent source; prove a small APT and current-FA transfer; confirm modern dApp behavior; and migrate high-value holdings or active positions if Rise cannot pass the test suite.</w:t>
      </w:r>
    </w:p>
    <w:tbl>
      <w:tblPr>
        <w:tblW w:type="dxa" w:w="9360"/>
        <w:jc w:val="left"/>
        <w:tblLayout w:type="fixed"/>
        <w:tblLook w:firstColumn="1" w:firstRow="1" w:lastColumn="0" w:lastRow="0" w:noHBand="0" w:noVBand="1" w:val="04A0"/>
        <w:tblInd w:w="120" w:type="dxa"/>
        <w:tblBorders>
          <w:top w:val="single" w:sz="7" w:space="0" w:color="2E74B5"/>
          <w:left w:val="single" w:sz="7" w:space="0" w:color="2E74B5"/>
          <w:bottom w:val="single" w:sz="7" w:space="0" w:color="2E74B5"/>
          <w:right w:val="single" w:sz="7" w:space="0" w:color="2E74B5"/>
          <w:insideH w:val="single" w:sz="7" w:space="0" w:color="2E74B5"/>
          <w:insideV w:val="single" w:sz="7" w:space="0" w:color="2E74B5"/>
        </w:tblBorders>
      </w:tblPr>
      <w:tblGrid>
        <w:gridCol w:w="9360"/>
      </w:tblGrid>
      <w:tr>
        <w:trPr>
          <w:cantSplit/>
        </w:trPr>
        <w:tc>
          <w:tcPr>
            <w:tcW w:type="dxa" w:w="9360"/>
            <w:tcMar>
              <w:top w:w="80" w:type="dxa"/>
              <w:start w:w="120" w:type="dxa"/>
              <w:bottom w:w="80" w:type="dxa"/>
              <w:end w:w="120" w:type="dxa"/>
            </w:tcMar>
            <w:vAlign w:val="center"/>
            <w:shd w:fill="E8EEF5"/>
          </w:tcPr>
          <w:p>
            <w:pPr>
              <w:spacing w:after="60"/>
            </w:pPr>
            <w:r>
              <w:rPr>
                <w:rFonts w:ascii="Calibri" w:hAnsi="Calibri"/>
                <w:b/>
                <w:color w:val="2E74B5"/>
              </w:rPr>
              <w:t>Final conclusion</w:t>
            </w:r>
          </w:p>
          <w:p>
            <w:pPr>
              <w:spacing w:after="0" w:line="264" w:lineRule="auto"/>
            </w:pPr>
            <w:r>
              <w:rPr>
                <w:rFonts w:ascii="Calibri" w:hAnsi="Calibri"/>
                <w:color w:val="202833"/>
              </w:rPr>
              <w:t>Rise is best understood as a historically feature-rich Aptos wallet whose public maintenance and current-standard compatibility are uncertain. Its supported asset universe is APT plus compatible Aptos assets—not a general list of external cryptocurrencies. The most consequential 2026 fact is the gap between Rise's 2022-2023 public materials and the current Aptos FA, DA, authentication, and AIP-62 environment.</w:t>
            </w:r>
          </w:p>
        </w:tc>
      </w:tr>
    </w:tbl>
    <w:p>
      <w:pPr>
        <w:widowControl/>
        <w:spacing w:after="0"/>
      </w:pPr>
    </w:p>
    <w:p>
      <w:pPr>
        <w:pStyle w:val="Heading1"/>
        <w:keepNext/>
        <w:widowControl/>
      </w:pPr>
      <w:r>
        <w:t>24. Technical glossary</w:t>
      </w:r>
    </w:p>
    <w:tbl>
      <w:tblPr>
        <w:tblW w:type="dxa" w:w="9360"/>
        <w:jc w:val="left"/>
        <w:tblLayout w:type="fixed"/>
        <w:tblLook w:firstColumn="1" w:firstRow="1" w:lastColumn="0" w:lastRow="0" w:noHBand="0" w:noVBand="1" w:val="04A0"/>
        <w:tblInd w:w="120" w:type="dxa"/>
        <w:tblBorders>
          <w:top w:val="single" w:sz="5" w:space="0" w:color="CBD5E1"/>
          <w:left w:val="single" w:sz="5" w:space="0" w:color="CBD5E1"/>
          <w:bottom w:val="single" w:sz="5" w:space="0" w:color="CBD5E1"/>
          <w:right w:val="single" w:sz="5" w:space="0" w:color="CBD5E1"/>
          <w:insideH w:val="single" w:sz="5" w:space="0" w:color="CBD5E1"/>
          <w:insideV w:val="single" w:sz="5" w:space="0" w:color="CBD5E1"/>
        </w:tblBorders>
      </w:tblPr>
      <w:tblGrid>
        <w:gridCol w:w="2100"/>
        <w:gridCol w:w="7260"/>
      </w:tblGrid>
      <w:tr>
        <w:trPr>
          <w:tblHeader w:val="true"/>
        </w:trPr>
        <w:tc>
          <w:tcPr>
            <w:tcW w:type="dxa" w:w="2100"/>
            <w:tcMar>
              <w:top w:w="80" w:type="dxa"/>
              <w:start w:w="120" w:type="dxa"/>
              <w:bottom w:w="80" w:type="dxa"/>
              <w:end w:w="120" w:type="dxa"/>
            </w:tcMar>
            <w:vAlign w:val="center"/>
            <w:shd w:fill="F2F4F7"/>
          </w:tcPr>
          <w:p>
            <w:pPr>
              <w:spacing w:after="0"/>
              <w:jc w:val="left"/>
            </w:pPr>
            <w:r>
              <w:rPr>
                <w:rFonts w:ascii="Calibri" w:hAnsi="Calibri"/>
                <w:b/>
                <w:color w:val="17365D"/>
                <w:sz w:val="19"/>
              </w:rPr>
              <w:t>Term</w:t>
            </w:r>
          </w:p>
        </w:tc>
        <w:tc>
          <w:tcPr>
            <w:tcW w:type="dxa" w:w="7260"/>
            <w:tcMar>
              <w:top w:w="80" w:type="dxa"/>
              <w:start w:w="120" w:type="dxa"/>
              <w:bottom w:w="80" w:type="dxa"/>
              <w:end w:w="120" w:type="dxa"/>
            </w:tcMar>
            <w:vAlign w:val="center"/>
            <w:shd w:fill="F2F4F7"/>
          </w:tcPr>
          <w:p>
            <w:pPr>
              <w:spacing w:after="0"/>
              <w:jc w:val="left"/>
            </w:pPr>
            <w:r>
              <w:rPr>
                <w:rFonts w:ascii="Calibri" w:hAnsi="Calibri"/>
                <w:b/>
                <w:color w:val="17365D"/>
                <w:sz w:val="19"/>
              </w:rPr>
              <w:t>Definition</w:t>
            </w:r>
          </w:p>
        </w:tc>
      </w:tr>
      <w:tr>
        <w:trPr>
          <w:cantSplit/>
        </w:trPr>
        <w:tc>
          <w:tcPr>
            <w:tcW w:type="dxa" w:w="2100"/>
            <w:shd w:fill="FBFCFD"/>
          </w:tcPr>
          <w:p>
            <w:pPr>
              <w:spacing w:after="0" w:line="252" w:lineRule="auto"/>
              <w:jc w:val="left"/>
            </w:pPr>
            <w:r>
              <w:rPr>
                <w:rFonts w:ascii="Calibri" w:hAnsi="Calibri"/>
                <w:color w:val="202833"/>
                <w:sz w:val="18"/>
              </w:rPr>
              <w:t>Account address</w:t>
            </w:r>
          </w:p>
        </w:tc>
        <w:tc>
          <w:tcPr>
            <w:tcW w:type="dxa" w:w="7260"/>
            <w:shd w:fill="FBFCFD"/>
          </w:tcPr>
          <w:p>
            <w:pPr>
              <w:spacing w:after="0" w:line="252" w:lineRule="auto"/>
              <w:jc w:val="left"/>
            </w:pPr>
            <w:r>
              <w:rPr>
                <w:rFonts w:ascii="Calibri" w:hAnsi="Calibri"/>
                <w:color w:val="202833"/>
                <w:sz w:val="18"/>
              </w:rPr>
              <w:t>Permanent 32-byte Aptos identifier, usually displayed as 0x-prefixed hexadecimal.</w:t>
            </w:r>
          </w:p>
        </w:tc>
      </w:tr>
      <w:tr>
        <w:trPr>
          <w:cantSplit/>
        </w:trPr>
        <w:tc>
          <w:tcPr>
            <w:tcW w:type="dxa" w:w="2100"/>
          </w:tcPr>
          <w:p>
            <w:pPr>
              <w:spacing w:after="0" w:line="252" w:lineRule="auto"/>
              <w:jc w:val="left"/>
            </w:pPr>
            <w:r>
              <w:rPr>
                <w:rFonts w:ascii="Calibri" w:hAnsi="Calibri"/>
                <w:color w:val="202833"/>
                <w:sz w:val="18"/>
              </w:rPr>
              <w:t>Authentication key</w:t>
            </w:r>
          </w:p>
        </w:tc>
        <w:tc>
          <w:tcPr>
            <w:tcW w:type="dxa" w:w="7260"/>
          </w:tcPr>
          <w:p>
            <w:pPr>
              <w:spacing w:after="0" w:line="252" w:lineRule="auto"/>
              <w:jc w:val="left"/>
            </w:pPr>
            <w:r>
              <w:rPr>
                <w:rFonts w:ascii="Calibri" w:hAnsi="Calibri"/>
                <w:color w:val="202833"/>
                <w:sz w:val="18"/>
              </w:rPr>
              <w:t>Current on-chain authority derived from a public key and authentication scheme; it can rotate.</w:t>
            </w:r>
          </w:p>
        </w:tc>
      </w:tr>
      <w:tr>
        <w:trPr>
          <w:cantSplit/>
        </w:trPr>
        <w:tc>
          <w:tcPr>
            <w:tcW w:type="dxa" w:w="2100"/>
            <w:shd w:fill="FBFCFD"/>
          </w:tcPr>
          <w:p>
            <w:pPr>
              <w:spacing w:after="0" w:line="252" w:lineRule="auto"/>
              <w:jc w:val="left"/>
            </w:pPr>
            <w:r>
              <w:rPr>
                <w:rFonts w:ascii="Calibri" w:hAnsi="Calibri"/>
                <w:color w:val="202833"/>
                <w:sz w:val="18"/>
              </w:rPr>
              <w:t>AIP-62</w:t>
            </w:r>
          </w:p>
        </w:tc>
        <w:tc>
          <w:tcPr>
            <w:tcW w:type="dxa" w:w="7260"/>
            <w:shd w:fill="FBFCFD"/>
          </w:tcPr>
          <w:p>
            <w:pPr>
              <w:spacing w:after="0" w:line="252" w:lineRule="auto"/>
              <w:jc w:val="left"/>
            </w:pPr>
            <w:r>
              <w:rPr>
                <w:rFonts w:ascii="Calibri" w:hAnsi="Calibri"/>
                <w:color w:val="202833"/>
                <w:sz w:val="18"/>
              </w:rPr>
              <w:t>Modern Aptos wallet standard for wallet discovery and dApp interoperability.</w:t>
            </w:r>
          </w:p>
        </w:tc>
      </w:tr>
      <w:tr>
        <w:trPr>
          <w:cantSplit/>
        </w:trPr>
        <w:tc>
          <w:tcPr>
            <w:tcW w:type="dxa" w:w="2100"/>
          </w:tcPr>
          <w:p>
            <w:pPr>
              <w:spacing w:after="0" w:line="252" w:lineRule="auto"/>
              <w:jc w:val="left"/>
            </w:pPr>
            <w:r>
              <w:rPr>
                <w:rFonts w:ascii="Calibri" w:hAnsi="Calibri"/>
                <w:color w:val="202833"/>
                <w:sz w:val="18"/>
              </w:rPr>
              <w:t>APT</w:t>
            </w:r>
          </w:p>
        </w:tc>
        <w:tc>
          <w:tcPr>
            <w:tcW w:type="dxa" w:w="7260"/>
          </w:tcPr>
          <w:p>
            <w:pPr>
              <w:spacing w:after="0" w:line="252" w:lineRule="auto"/>
              <w:jc w:val="left"/>
            </w:pPr>
            <w:r>
              <w:rPr>
                <w:rFonts w:ascii="Calibri" w:hAnsi="Calibri"/>
                <w:color w:val="202833"/>
                <w:sz w:val="18"/>
              </w:rPr>
              <w:t>Native Aptos cryptocurrency and ordinary gas asset; 1 APT = 100,000,000 octas.</w:t>
            </w:r>
          </w:p>
        </w:tc>
      </w:tr>
      <w:tr>
        <w:trPr>
          <w:cantSplit/>
        </w:trPr>
        <w:tc>
          <w:tcPr>
            <w:tcW w:type="dxa" w:w="2100"/>
            <w:shd w:fill="FBFCFD"/>
          </w:tcPr>
          <w:p>
            <w:pPr>
              <w:spacing w:after="0" w:line="252" w:lineRule="auto"/>
              <w:jc w:val="left"/>
            </w:pPr>
            <w:r>
              <w:rPr>
                <w:rFonts w:ascii="Calibri" w:hAnsi="Calibri"/>
                <w:color w:val="202833"/>
                <w:sz w:val="18"/>
              </w:rPr>
              <w:t>BCS</w:t>
            </w:r>
          </w:p>
        </w:tc>
        <w:tc>
          <w:tcPr>
            <w:tcW w:type="dxa" w:w="7260"/>
            <w:shd w:fill="FBFCFD"/>
          </w:tcPr>
          <w:p>
            <w:pPr>
              <w:spacing w:after="0" w:line="252" w:lineRule="auto"/>
              <w:jc w:val="left"/>
            </w:pPr>
            <w:r>
              <w:rPr>
                <w:rFonts w:ascii="Calibri" w:hAnsi="Calibri"/>
                <w:color w:val="202833"/>
                <w:sz w:val="18"/>
              </w:rPr>
              <w:t>Binary Canonical Serialization used for Aptos transaction signing and transport.</w:t>
            </w:r>
          </w:p>
        </w:tc>
      </w:tr>
      <w:tr>
        <w:trPr>
          <w:cantSplit/>
        </w:trPr>
        <w:tc>
          <w:tcPr>
            <w:tcW w:type="dxa" w:w="2100"/>
          </w:tcPr>
          <w:p>
            <w:pPr>
              <w:spacing w:after="0" w:line="252" w:lineRule="auto"/>
              <w:jc w:val="left"/>
            </w:pPr>
            <w:r>
              <w:rPr>
                <w:rFonts w:ascii="Calibri" w:hAnsi="Calibri"/>
                <w:color w:val="202833"/>
                <w:sz w:val="18"/>
              </w:rPr>
              <w:t>Coin</w:t>
            </w:r>
          </w:p>
        </w:tc>
        <w:tc>
          <w:tcPr>
            <w:tcW w:type="dxa" w:w="7260"/>
          </w:tcPr>
          <w:p>
            <w:pPr>
              <w:spacing w:after="0" w:line="252" w:lineRule="auto"/>
              <w:jc w:val="left"/>
            </w:pPr>
            <w:r>
              <w:rPr>
                <w:rFonts w:ascii="Calibri" w:hAnsi="Calibri"/>
                <w:color w:val="202833"/>
                <w:sz w:val="18"/>
              </w:rPr>
              <w:t>Legacy type-based fungible-asset model using CoinStore resources.</w:t>
            </w:r>
          </w:p>
        </w:tc>
      </w:tr>
      <w:tr>
        <w:trPr>
          <w:cantSplit/>
        </w:trPr>
        <w:tc>
          <w:tcPr>
            <w:tcW w:type="dxa" w:w="2100"/>
            <w:shd w:fill="FBFCFD"/>
          </w:tcPr>
          <w:p>
            <w:pPr>
              <w:spacing w:after="0" w:line="252" w:lineRule="auto"/>
              <w:jc w:val="left"/>
            </w:pPr>
            <w:r>
              <w:rPr>
                <w:rFonts w:ascii="Calibri" w:hAnsi="Calibri"/>
                <w:color w:val="202833"/>
                <w:sz w:val="18"/>
              </w:rPr>
              <w:t>Digital Asset (DA)</w:t>
            </w:r>
          </w:p>
        </w:tc>
        <w:tc>
          <w:tcPr>
            <w:tcW w:type="dxa" w:w="7260"/>
            <w:shd w:fill="FBFCFD"/>
          </w:tcPr>
          <w:p>
            <w:pPr>
              <w:spacing w:after="0" w:line="252" w:lineRule="auto"/>
              <w:jc w:val="left"/>
            </w:pPr>
            <w:r>
              <w:rPr>
                <w:rFonts w:ascii="Calibri" w:hAnsi="Calibri"/>
                <w:color w:val="202833"/>
                <w:sz w:val="18"/>
              </w:rPr>
              <w:t>Current object-based Aptos standard for NFTs and semi-fungible assets.</w:t>
            </w:r>
          </w:p>
        </w:tc>
      </w:tr>
      <w:tr>
        <w:trPr>
          <w:cantSplit/>
        </w:trPr>
        <w:tc>
          <w:tcPr>
            <w:tcW w:type="dxa" w:w="2100"/>
          </w:tcPr>
          <w:p>
            <w:pPr>
              <w:spacing w:after="0" w:line="252" w:lineRule="auto"/>
              <w:jc w:val="left"/>
            </w:pPr>
            <w:r>
              <w:rPr>
                <w:rFonts w:ascii="Calibri" w:hAnsi="Calibri"/>
                <w:color w:val="202833"/>
                <w:sz w:val="18"/>
              </w:rPr>
              <w:t>Dispatchable FA</w:t>
            </w:r>
          </w:p>
        </w:tc>
        <w:tc>
          <w:tcPr>
            <w:tcW w:type="dxa" w:w="7260"/>
          </w:tcPr>
          <w:p>
            <w:pPr>
              <w:spacing w:after="0" w:line="252" w:lineRule="auto"/>
              <w:jc w:val="left"/>
            </w:pPr>
            <w:r>
              <w:rPr>
                <w:rFonts w:ascii="Calibri" w:hAnsi="Calibri"/>
                <w:color w:val="202833"/>
                <w:sz w:val="18"/>
              </w:rPr>
              <w:t>Fungible Asset whose transfer can invoke custom Move logic.</w:t>
            </w:r>
          </w:p>
        </w:tc>
      </w:tr>
      <w:tr>
        <w:trPr>
          <w:cantSplit/>
        </w:trPr>
        <w:tc>
          <w:tcPr>
            <w:tcW w:type="dxa" w:w="2100"/>
            <w:shd w:fill="FBFCFD"/>
          </w:tcPr>
          <w:p>
            <w:pPr>
              <w:spacing w:after="0" w:line="252" w:lineRule="auto"/>
              <w:jc w:val="left"/>
            </w:pPr>
            <w:r>
              <w:rPr>
                <w:rFonts w:ascii="Calibri" w:hAnsi="Calibri"/>
                <w:color w:val="202833"/>
                <w:sz w:val="18"/>
              </w:rPr>
              <w:t>Fungible Asset (FA)</w:t>
            </w:r>
          </w:p>
        </w:tc>
        <w:tc>
          <w:tcPr>
            <w:tcW w:type="dxa" w:w="7260"/>
            <w:shd w:fill="FBFCFD"/>
          </w:tcPr>
          <w:p>
            <w:pPr>
              <w:spacing w:after="0" w:line="252" w:lineRule="auto"/>
              <w:jc w:val="left"/>
            </w:pPr>
            <w:r>
              <w:rPr>
                <w:rFonts w:ascii="Calibri" w:hAnsi="Calibri"/>
                <w:color w:val="202833"/>
                <w:sz w:val="18"/>
              </w:rPr>
              <w:t>Current object-based Aptos standard for interchangeable assets.</w:t>
            </w:r>
          </w:p>
        </w:tc>
      </w:tr>
      <w:tr>
        <w:trPr>
          <w:cantSplit/>
        </w:trPr>
        <w:tc>
          <w:tcPr>
            <w:tcW w:type="dxa" w:w="2100"/>
          </w:tcPr>
          <w:p>
            <w:pPr>
              <w:spacing w:after="0" w:line="252" w:lineRule="auto"/>
              <w:jc w:val="left"/>
            </w:pPr>
            <w:r>
              <w:rPr>
                <w:rFonts w:ascii="Calibri" w:hAnsi="Calibri"/>
                <w:color w:val="202833"/>
                <w:sz w:val="18"/>
              </w:rPr>
              <w:t>FungibleStore</w:t>
            </w:r>
          </w:p>
        </w:tc>
        <w:tc>
          <w:tcPr>
            <w:tcW w:type="dxa" w:w="7260"/>
          </w:tcPr>
          <w:p>
            <w:pPr>
              <w:spacing w:after="0" w:line="252" w:lineRule="auto"/>
              <w:jc w:val="left"/>
            </w:pPr>
            <w:r>
              <w:rPr>
                <w:rFonts w:ascii="Calibri" w:hAnsi="Calibri"/>
                <w:color w:val="202833"/>
                <w:sz w:val="18"/>
              </w:rPr>
              <w:t>Object/resource holding units of a specific FA for an owner.</w:t>
            </w:r>
          </w:p>
        </w:tc>
      </w:tr>
      <w:tr>
        <w:trPr>
          <w:cantSplit/>
        </w:trPr>
        <w:tc>
          <w:tcPr>
            <w:tcW w:type="dxa" w:w="2100"/>
            <w:shd w:fill="FBFCFD"/>
          </w:tcPr>
          <w:p>
            <w:pPr>
              <w:spacing w:after="0" w:line="252" w:lineRule="auto"/>
              <w:jc w:val="left"/>
            </w:pPr>
            <w:r>
              <w:rPr>
                <w:rFonts w:ascii="Calibri" w:hAnsi="Calibri"/>
                <w:color w:val="202833"/>
                <w:sz w:val="18"/>
              </w:rPr>
              <w:t>Gas</w:t>
            </w:r>
          </w:p>
        </w:tc>
        <w:tc>
          <w:tcPr>
            <w:tcW w:type="dxa" w:w="7260"/>
            <w:shd w:fill="FBFCFD"/>
          </w:tcPr>
          <w:p>
            <w:pPr>
              <w:spacing w:after="0" w:line="252" w:lineRule="auto"/>
              <w:jc w:val="left"/>
            </w:pPr>
            <w:r>
              <w:rPr>
                <w:rFonts w:ascii="Calibri" w:hAnsi="Calibri"/>
                <w:color w:val="202833"/>
                <w:sz w:val="18"/>
              </w:rPr>
              <w:t>APT-denominated fee for computation, I/O, and storage effects.</w:t>
            </w:r>
          </w:p>
        </w:tc>
      </w:tr>
      <w:tr>
        <w:trPr>
          <w:cantSplit/>
        </w:trPr>
        <w:tc>
          <w:tcPr>
            <w:tcW w:type="dxa" w:w="2100"/>
          </w:tcPr>
          <w:p>
            <w:pPr>
              <w:spacing w:after="0" w:line="252" w:lineRule="auto"/>
              <w:jc w:val="left"/>
            </w:pPr>
            <w:r>
              <w:rPr>
                <w:rFonts w:ascii="Calibri" w:hAnsi="Calibri"/>
                <w:color w:val="202833"/>
                <w:sz w:val="18"/>
              </w:rPr>
              <w:t>Indexer</w:t>
            </w:r>
          </w:p>
        </w:tc>
        <w:tc>
          <w:tcPr>
            <w:tcW w:type="dxa" w:w="7260"/>
          </w:tcPr>
          <w:p>
            <w:pPr>
              <w:spacing w:after="0" w:line="252" w:lineRule="auto"/>
              <w:jc w:val="left"/>
            </w:pPr>
            <w:r>
              <w:rPr>
                <w:rFonts w:ascii="Calibri" w:hAnsi="Calibri"/>
                <w:color w:val="202833"/>
                <w:sz w:val="18"/>
              </w:rPr>
              <w:t>Service that transforms ledger data into searchable balances, history, NFT, and metadata views.</w:t>
            </w:r>
          </w:p>
        </w:tc>
      </w:tr>
      <w:tr>
        <w:trPr>
          <w:cantSplit/>
        </w:trPr>
        <w:tc>
          <w:tcPr>
            <w:tcW w:type="dxa" w:w="2100"/>
            <w:shd w:fill="FBFCFD"/>
          </w:tcPr>
          <w:p>
            <w:pPr>
              <w:spacing w:after="0" w:line="252" w:lineRule="auto"/>
              <w:jc w:val="left"/>
            </w:pPr>
            <w:r>
              <w:rPr>
                <w:rFonts w:ascii="Calibri" w:hAnsi="Calibri"/>
                <w:color w:val="202833"/>
                <w:sz w:val="18"/>
              </w:rPr>
              <w:t>Metadata address</w:t>
            </w:r>
          </w:p>
        </w:tc>
        <w:tc>
          <w:tcPr>
            <w:tcW w:type="dxa" w:w="7260"/>
            <w:shd w:fill="FBFCFD"/>
          </w:tcPr>
          <w:p>
            <w:pPr>
              <w:spacing w:after="0" w:line="252" w:lineRule="auto"/>
              <w:jc w:val="left"/>
            </w:pPr>
            <w:r>
              <w:rPr>
                <w:rFonts w:ascii="Calibri" w:hAnsi="Calibri"/>
                <w:color w:val="202833"/>
                <w:sz w:val="18"/>
              </w:rPr>
              <w:t>On-chain object address that canonically identifies an FA and its properties.</w:t>
            </w:r>
          </w:p>
        </w:tc>
      </w:tr>
      <w:tr>
        <w:trPr>
          <w:cantSplit/>
        </w:trPr>
        <w:tc>
          <w:tcPr>
            <w:tcW w:type="dxa" w:w="2100"/>
          </w:tcPr>
          <w:p>
            <w:pPr>
              <w:spacing w:after="0" w:line="252" w:lineRule="auto"/>
              <w:jc w:val="left"/>
            </w:pPr>
            <w:r>
              <w:rPr>
                <w:rFonts w:ascii="Calibri" w:hAnsi="Calibri"/>
                <w:color w:val="202833"/>
                <w:sz w:val="18"/>
              </w:rPr>
              <w:t>Mnemonic</w:t>
            </w:r>
          </w:p>
        </w:tc>
        <w:tc>
          <w:tcPr>
            <w:tcW w:type="dxa" w:w="7260"/>
          </w:tcPr>
          <w:p>
            <w:pPr>
              <w:spacing w:after="0" w:line="252" w:lineRule="auto"/>
              <w:jc w:val="left"/>
            </w:pPr>
            <w:r>
              <w:rPr>
                <w:rFonts w:ascii="Calibri" w:hAnsi="Calibri"/>
                <w:color w:val="202833"/>
                <w:sz w:val="18"/>
              </w:rPr>
              <w:t>Word sequence used to derive deterministic private keys; Rise states 12 words for a new wallet.</w:t>
            </w:r>
          </w:p>
        </w:tc>
      </w:tr>
      <w:tr>
        <w:trPr>
          <w:cantSplit/>
        </w:trPr>
        <w:tc>
          <w:tcPr>
            <w:tcW w:type="dxa" w:w="2100"/>
            <w:shd w:fill="FBFCFD"/>
          </w:tcPr>
          <w:p>
            <w:pPr>
              <w:spacing w:after="0" w:line="252" w:lineRule="auto"/>
              <w:jc w:val="left"/>
            </w:pPr>
            <w:r>
              <w:rPr>
                <w:rFonts w:ascii="Calibri" w:hAnsi="Calibri"/>
                <w:color w:val="202833"/>
                <w:sz w:val="18"/>
              </w:rPr>
              <w:t>Move</w:t>
            </w:r>
          </w:p>
        </w:tc>
        <w:tc>
          <w:tcPr>
            <w:tcW w:type="dxa" w:w="7260"/>
            <w:shd w:fill="FBFCFD"/>
          </w:tcPr>
          <w:p>
            <w:pPr>
              <w:spacing w:after="0" w:line="252" w:lineRule="auto"/>
              <w:jc w:val="left"/>
            </w:pPr>
            <w:r>
              <w:rPr>
                <w:rFonts w:ascii="Calibri" w:hAnsi="Calibri"/>
                <w:color w:val="202833"/>
                <w:sz w:val="18"/>
              </w:rPr>
              <w:t>Resource-oriented smart-contract language used by Aptos.</w:t>
            </w:r>
          </w:p>
        </w:tc>
      </w:tr>
      <w:tr>
        <w:trPr>
          <w:cantSplit/>
        </w:trPr>
        <w:tc>
          <w:tcPr>
            <w:tcW w:type="dxa" w:w="2100"/>
          </w:tcPr>
          <w:p>
            <w:pPr>
              <w:spacing w:after="0" w:line="252" w:lineRule="auto"/>
              <w:jc w:val="left"/>
            </w:pPr>
            <w:r>
              <w:rPr>
                <w:rFonts w:ascii="Calibri" w:hAnsi="Calibri"/>
                <w:color w:val="202833"/>
                <w:sz w:val="18"/>
              </w:rPr>
              <w:t>Octa</w:t>
            </w:r>
          </w:p>
        </w:tc>
        <w:tc>
          <w:tcPr>
            <w:tcW w:type="dxa" w:w="7260"/>
          </w:tcPr>
          <w:p>
            <w:pPr>
              <w:spacing w:after="0" w:line="252" w:lineRule="auto"/>
              <w:jc w:val="left"/>
            </w:pPr>
            <w:r>
              <w:rPr>
                <w:rFonts w:ascii="Calibri" w:hAnsi="Calibri"/>
                <w:color w:val="202833"/>
                <w:sz w:val="18"/>
              </w:rPr>
              <w:t>Smallest APT unit; 10^-8 APT.</w:t>
            </w:r>
          </w:p>
        </w:tc>
      </w:tr>
      <w:tr>
        <w:trPr>
          <w:cantSplit/>
        </w:trPr>
        <w:tc>
          <w:tcPr>
            <w:tcW w:type="dxa" w:w="2100"/>
            <w:shd w:fill="FBFCFD"/>
          </w:tcPr>
          <w:p>
            <w:pPr>
              <w:spacing w:after="0" w:line="252" w:lineRule="auto"/>
              <w:jc w:val="left"/>
            </w:pPr>
            <w:r>
              <w:rPr>
                <w:rFonts w:ascii="Calibri" w:hAnsi="Calibri"/>
                <w:color w:val="202833"/>
                <w:sz w:val="18"/>
              </w:rPr>
              <w:t>Object</w:t>
            </w:r>
          </w:p>
        </w:tc>
        <w:tc>
          <w:tcPr>
            <w:tcW w:type="dxa" w:w="7260"/>
            <w:shd w:fill="FBFCFD"/>
          </w:tcPr>
          <w:p>
            <w:pPr>
              <w:spacing w:after="0" w:line="252" w:lineRule="auto"/>
              <w:jc w:val="left"/>
            </w:pPr>
            <w:r>
              <w:rPr>
                <w:rFonts w:ascii="Calibri" w:hAnsi="Calibri"/>
                <w:color w:val="202833"/>
                <w:sz w:val="18"/>
              </w:rPr>
              <w:t>Aptos construct with its own address that can own resources and be transferred or extended.</w:t>
            </w:r>
          </w:p>
        </w:tc>
      </w:tr>
      <w:tr>
        <w:trPr>
          <w:cantSplit/>
        </w:trPr>
        <w:tc>
          <w:tcPr>
            <w:tcW w:type="dxa" w:w="2100"/>
          </w:tcPr>
          <w:p>
            <w:pPr>
              <w:spacing w:after="0" w:line="252" w:lineRule="auto"/>
              <w:jc w:val="left"/>
            </w:pPr>
            <w:r>
              <w:rPr>
                <w:rFonts w:ascii="Calibri" w:hAnsi="Calibri"/>
                <w:color w:val="202833"/>
                <w:sz w:val="18"/>
              </w:rPr>
              <w:t>Primary store</w:t>
            </w:r>
          </w:p>
        </w:tc>
        <w:tc>
          <w:tcPr>
            <w:tcW w:type="dxa" w:w="7260"/>
          </w:tcPr>
          <w:p>
            <w:pPr>
              <w:spacing w:after="0" w:line="252" w:lineRule="auto"/>
              <w:jc w:val="left"/>
            </w:pPr>
            <w:r>
              <w:rPr>
                <w:rFonts w:ascii="Calibri" w:hAnsi="Calibri"/>
                <w:color w:val="202833"/>
                <w:sz w:val="18"/>
              </w:rPr>
              <w:t>Deterministic principal FungibleStore for an account and metadata address.</w:t>
            </w:r>
          </w:p>
        </w:tc>
      </w:tr>
      <w:tr>
        <w:trPr>
          <w:cantSplit/>
        </w:trPr>
        <w:tc>
          <w:tcPr>
            <w:tcW w:type="dxa" w:w="2100"/>
            <w:shd w:fill="FBFCFD"/>
          </w:tcPr>
          <w:p>
            <w:pPr>
              <w:spacing w:after="0" w:line="252" w:lineRule="auto"/>
              <w:jc w:val="left"/>
            </w:pPr>
            <w:r>
              <w:rPr>
                <w:rFonts w:ascii="Calibri" w:hAnsi="Calibri"/>
                <w:color w:val="202833"/>
                <w:sz w:val="18"/>
              </w:rPr>
              <w:t>RPC</w:t>
            </w:r>
          </w:p>
        </w:tc>
        <w:tc>
          <w:tcPr>
            <w:tcW w:type="dxa" w:w="7260"/>
            <w:shd w:fill="FBFCFD"/>
          </w:tcPr>
          <w:p>
            <w:pPr>
              <w:spacing w:after="0" w:line="252" w:lineRule="auto"/>
              <w:jc w:val="left"/>
            </w:pPr>
            <w:r>
              <w:rPr>
                <w:rFonts w:ascii="Calibri" w:hAnsi="Calibri"/>
                <w:color w:val="202833"/>
                <w:sz w:val="18"/>
              </w:rPr>
              <w:t>Remote fullnode interface used for state queries, simulation, gas estimation, and submission.</w:t>
            </w:r>
          </w:p>
        </w:tc>
      </w:tr>
      <w:tr>
        <w:trPr>
          <w:cantSplit/>
        </w:trPr>
        <w:tc>
          <w:tcPr>
            <w:tcW w:type="dxa" w:w="2100"/>
          </w:tcPr>
          <w:p>
            <w:pPr>
              <w:spacing w:after="0" w:line="252" w:lineRule="auto"/>
              <w:jc w:val="left"/>
            </w:pPr>
            <w:r>
              <w:rPr>
                <w:rFonts w:ascii="Calibri" w:hAnsi="Calibri"/>
                <w:color w:val="202833"/>
                <w:sz w:val="18"/>
              </w:rPr>
              <w:t>Sequence number</w:t>
            </w:r>
          </w:p>
        </w:tc>
        <w:tc>
          <w:tcPr>
            <w:tcW w:type="dxa" w:w="7260"/>
          </w:tcPr>
          <w:p>
            <w:pPr>
              <w:spacing w:after="0" w:line="252" w:lineRule="auto"/>
              <w:jc w:val="left"/>
            </w:pPr>
            <w:r>
              <w:rPr>
                <w:rFonts w:ascii="Calibri" w:hAnsi="Calibri"/>
                <w:color w:val="202833"/>
                <w:sz w:val="18"/>
              </w:rPr>
              <w:t>Replay-protection counter for ordinary sequenced transactions from an account.</w:t>
            </w:r>
          </w:p>
        </w:tc>
      </w:tr>
      <w:tr>
        <w:trPr>
          <w:cantSplit/>
        </w:trPr>
        <w:tc>
          <w:tcPr>
            <w:tcW w:type="dxa" w:w="2100"/>
            <w:shd w:fill="FBFCFD"/>
          </w:tcPr>
          <w:p>
            <w:pPr>
              <w:spacing w:after="0" w:line="252" w:lineRule="auto"/>
              <w:jc w:val="left"/>
            </w:pPr>
            <w:r>
              <w:rPr>
                <w:rFonts w:ascii="Calibri" w:hAnsi="Calibri"/>
                <w:color w:val="202833"/>
                <w:sz w:val="18"/>
              </w:rPr>
              <w:t>Self-custody</w:t>
            </w:r>
          </w:p>
        </w:tc>
        <w:tc>
          <w:tcPr>
            <w:tcW w:type="dxa" w:w="7260"/>
            <w:shd w:fill="FBFCFD"/>
          </w:tcPr>
          <w:p>
            <w:pPr>
              <w:spacing w:after="0" w:line="252" w:lineRule="auto"/>
              <w:jc w:val="left"/>
            </w:pPr>
            <w:r>
              <w:rPr>
                <w:rFonts w:ascii="Calibri" w:hAnsi="Calibri"/>
                <w:color w:val="202833"/>
                <w:sz w:val="18"/>
              </w:rPr>
              <w:t>The user, rather than a provider, controls the secret required to authorize transactions.</w:t>
            </w:r>
          </w:p>
        </w:tc>
      </w:tr>
      <w:tr>
        <w:trPr>
          <w:cantSplit/>
        </w:trPr>
        <w:tc>
          <w:tcPr>
            <w:tcW w:type="dxa" w:w="2100"/>
          </w:tcPr>
          <w:p>
            <w:pPr>
              <w:spacing w:after="0" w:line="252" w:lineRule="auto"/>
              <w:jc w:val="left"/>
            </w:pPr>
            <w:r>
              <w:rPr>
                <w:rFonts w:ascii="Calibri" w:hAnsi="Calibri"/>
                <w:color w:val="202833"/>
                <w:sz w:val="18"/>
              </w:rPr>
              <w:t>Simulation</w:t>
            </w:r>
          </w:p>
        </w:tc>
        <w:tc>
          <w:tcPr>
            <w:tcW w:type="dxa" w:w="7260"/>
          </w:tcPr>
          <w:p>
            <w:pPr>
              <w:spacing w:after="0" w:line="252" w:lineRule="auto"/>
              <w:jc w:val="left"/>
            </w:pPr>
            <w:r>
              <w:rPr>
                <w:rFonts w:ascii="Calibri" w:hAnsi="Calibri"/>
                <w:color w:val="202833"/>
                <w:sz w:val="18"/>
              </w:rPr>
              <w:t>Non-committing execution of a proposed transaction against a recent state.</w:t>
            </w:r>
          </w:p>
        </w:tc>
      </w:tr>
      <w:tr>
        <w:trPr>
          <w:cantSplit/>
        </w:trPr>
        <w:tc>
          <w:tcPr>
            <w:tcW w:type="dxa" w:w="2100"/>
            <w:shd w:fill="FBFCFD"/>
          </w:tcPr>
          <w:p>
            <w:pPr>
              <w:spacing w:after="0" w:line="252" w:lineRule="auto"/>
              <w:jc w:val="left"/>
            </w:pPr>
            <w:r>
              <w:rPr>
                <w:rFonts w:ascii="Calibri" w:hAnsi="Calibri"/>
                <w:color w:val="202833"/>
                <w:sz w:val="18"/>
              </w:rPr>
              <w:t>Token v1</w:t>
            </w:r>
          </w:p>
        </w:tc>
        <w:tc>
          <w:tcPr>
            <w:tcW w:type="dxa" w:w="7260"/>
            <w:shd w:fill="FBFCFD"/>
          </w:tcPr>
          <w:p>
            <w:pPr>
              <w:spacing w:after="0" w:line="252" w:lineRule="auto"/>
              <w:jc w:val="left"/>
            </w:pPr>
            <w:r>
              <w:rPr>
                <w:rFonts w:ascii="Calibri" w:hAnsi="Calibri"/>
                <w:color w:val="202833"/>
                <w:sz w:val="18"/>
              </w:rPr>
              <w:t>Legacy Aptos NFT/token model; distinct from current Digital Assets.</w:t>
            </w:r>
          </w:p>
        </w:tc>
      </w:tr>
      <w:tr>
        <w:trPr>
          <w:cantSplit/>
        </w:trPr>
        <w:tc>
          <w:tcPr>
            <w:tcW w:type="dxa" w:w="2100"/>
          </w:tcPr>
          <w:p>
            <w:pPr>
              <w:spacing w:after="0" w:line="252" w:lineRule="auto"/>
              <w:jc w:val="left"/>
            </w:pPr>
            <w:r>
              <w:rPr>
                <w:rFonts w:ascii="Calibri" w:hAnsi="Calibri"/>
                <w:color w:val="202833"/>
                <w:sz w:val="18"/>
              </w:rPr>
              <w:t>Wallet adapter</w:t>
            </w:r>
          </w:p>
        </w:tc>
        <w:tc>
          <w:tcPr>
            <w:tcW w:type="dxa" w:w="7260"/>
          </w:tcPr>
          <w:p>
            <w:pPr>
              <w:spacing w:after="0" w:line="252" w:lineRule="auto"/>
              <w:jc w:val="left"/>
            </w:pPr>
            <w:r>
              <w:rPr>
                <w:rFonts w:ascii="Calibri" w:hAnsi="Calibri"/>
                <w:color w:val="202833"/>
                <w:sz w:val="18"/>
              </w:rPr>
              <w:t>Standardized interface connecting dApps to installed or SDK wallets.</w:t>
            </w:r>
          </w:p>
        </w:tc>
      </w:tr>
    </w:tbl>
    <w:p>
      <w:pPr>
        <w:widowControl/>
        <w:spacing w:after="0"/>
      </w:pPr>
    </w:p>
    <w:p>
      <w:pPr>
        <w:pStyle w:val="Heading1"/>
        <w:keepNext/>
        <w:pageBreakBefore/>
        <w:widowControl/>
      </w:pPr>
      <w:r>
        <w:t>Sources</w:t>
      </w:r>
    </w:p>
    <w:p>
      <w:pPr>
        <w:widowControl/>
      </w:pPr>
      <w:r>
        <w:rPr>
          <w:rFonts w:ascii="Calibri" w:hAnsi="Calibri"/>
          <w:color w:val="202833"/>
        </w:rPr>
        <w:t>Primary and first-party public sources checked for this report are listed below. Access date: 30 August 2026. Product availability, wallet releases, asset identifiers, protocol behavior, and third-party services can change; verify them again before a high-value action.</w:t>
      </w:r>
    </w:p>
    <w:p>
      <w:pPr>
        <w:widowControl/>
        <w:spacing w:after="80"/>
      </w:pPr>
      <w:r>
        <w:rPr>
          <w:rFonts w:ascii="Calibri" w:hAnsi="Calibri"/>
          <w:color w:val="202833"/>
          <w:sz w:val="19"/>
        </w:rPr>
        <w:t xml:space="preserve">[1] Rise Wallet - official website, features, FAQ, and asset-support statement - </w:t>
      </w:r>
      <w:hyperlink r:id="rId12">
        <w:r>
          <w:rPr>
            <w:rFonts w:ascii="Calibri" w:hAnsi="Calibri"/>
            <w:color w:val="2E74B5"/>
            <w:u w:val="single"/>
            <w:sz w:val="20"/>
          </w:rPr>
          <w:t>https://risewallet.io/</w:t>
        </w:r>
      </w:hyperlink>
    </w:p>
    <w:p>
      <w:pPr>
        <w:widowControl/>
        <w:spacing w:after="80"/>
      </w:pPr>
      <w:r>
        <w:rPr>
          <w:rFonts w:ascii="Calibri" w:hAnsi="Calibri"/>
          <w:color w:val="202833"/>
          <w:sz w:val="19"/>
        </w:rPr>
        <w:t xml:space="preserve">[2] Rise Wallet Docs - introduction - </w:t>
      </w:r>
      <w:hyperlink r:id="rId13">
        <w:r>
          <w:rPr>
            <w:rFonts w:ascii="Calibri" w:hAnsi="Calibri"/>
            <w:color w:val="2E74B5"/>
            <w:u w:val="single"/>
            <w:sz w:val="20"/>
          </w:rPr>
          <w:t>https://docs.risewallet.io/</w:t>
        </w:r>
      </w:hyperlink>
    </w:p>
    <w:p>
      <w:pPr>
        <w:widowControl/>
        <w:spacing w:after="80"/>
      </w:pPr>
      <w:r>
        <w:rPr>
          <w:rFonts w:ascii="Calibri" w:hAnsi="Calibri"/>
          <w:color w:val="202833"/>
          <w:sz w:val="19"/>
        </w:rPr>
        <w:t xml:space="preserve">[3] Rise Wallet Docs - self-custody - </w:t>
      </w:r>
      <w:hyperlink r:id="rId14">
        <w:r>
          <w:rPr>
            <w:rFonts w:ascii="Calibri" w:hAnsi="Calibri"/>
            <w:color w:val="2E74B5"/>
            <w:u w:val="single"/>
            <w:sz w:val="20"/>
          </w:rPr>
          <w:t>https://docs.risewallet.io/introduction/introduction/self-custody</w:t>
        </w:r>
      </w:hyperlink>
    </w:p>
    <w:p>
      <w:pPr>
        <w:widowControl/>
        <w:spacing w:after="80"/>
      </w:pPr>
      <w:r>
        <w:rPr>
          <w:rFonts w:ascii="Calibri" w:hAnsi="Calibri"/>
          <w:color w:val="202833"/>
          <w:sz w:val="19"/>
        </w:rPr>
        <w:t xml:space="preserve">[4] Rise Wallet Docs - security best practices and recovery phrase - </w:t>
      </w:r>
      <w:hyperlink r:id="rId15">
        <w:r>
          <w:rPr>
            <w:rFonts w:ascii="Calibri" w:hAnsi="Calibri"/>
            <w:color w:val="2E74B5"/>
            <w:u w:val="single"/>
            <w:sz w:val="20"/>
          </w:rPr>
          <w:t>https://docs.risewallet.io/introduction/introduction/best-practices</w:t>
        </w:r>
      </w:hyperlink>
    </w:p>
    <w:p>
      <w:pPr>
        <w:widowControl/>
        <w:spacing w:after="80"/>
      </w:pPr>
      <w:r>
        <w:rPr>
          <w:rFonts w:ascii="Calibri" w:hAnsi="Calibri"/>
          <w:color w:val="202833"/>
          <w:sz w:val="19"/>
        </w:rPr>
        <w:t xml:space="preserve">[5] Rise Wallet Docs - wallet-adapter integration - </w:t>
      </w:r>
      <w:hyperlink r:id="rId16">
        <w:r>
          <w:rPr>
            <w:rFonts w:ascii="Calibri" w:hAnsi="Calibri"/>
            <w:color w:val="2E74B5"/>
            <w:u w:val="single"/>
            <w:sz w:val="20"/>
          </w:rPr>
          <w:t>https://docs.risewallet.io/introduction/integrations/integrate-rise-wallet/with-the-wallet-adapter</w:t>
        </w:r>
      </w:hyperlink>
    </w:p>
    <w:p>
      <w:pPr>
        <w:widowControl/>
        <w:spacing w:after="80"/>
      </w:pPr>
      <w:r>
        <w:rPr>
          <w:rFonts w:ascii="Calibri" w:hAnsi="Calibri"/>
          <w:color w:val="202833"/>
          <w:sz w:val="19"/>
        </w:rPr>
        <w:t xml:space="preserve">[6] Rise Wallet Docs - establishing a dApp connection - </w:t>
      </w:r>
      <w:hyperlink r:id="rId17">
        <w:r>
          <w:rPr>
            <w:rFonts w:ascii="Calibri" w:hAnsi="Calibri"/>
            <w:color w:val="2E74B5"/>
            <w:u w:val="single"/>
            <w:sz w:val="20"/>
          </w:rPr>
          <w:t>https://docs.risewallet.io/introduction/integrations/integrate-rise-wallet/without-the-wallet-adapter/establishing-connection</w:t>
        </w:r>
      </w:hyperlink>
    </w:p>
    <w:p>
      <w:pPr>
        <w:widowControl/>
        <w:spacing w:after="80"/>
      </w:pPr>
      <w:r>
        <w:rPr>
          <w:rFonts w:ascii="Calibri" w:hAnsi="Calibri"/>
          <w:color w:val="202833"/>
          <w:sz w:val="19"/>
        </w:rPr>
        <w:t xml:space="preserve">[7] Rise Wallet Docs - signing transactions - </w:t>
      </w:r>
      <w:hyperlink r:id="rId18">
        <w:r>
          <w:rPr>
            <w:rFonts w:ascii="Calibri" w:hAnsi="Calibri"/>
            <w:color w:val="2E74B5"/>
            <w:u w:val="single"/>
            <w:sz w:val="20"/>
          </w:rPr>
          <w:t>https://docs.risewallet.io/introduction/integrations/integrate-rise-wallet/without-the-wallet-adapter/signing-transactions</w:t>
        </w:r>
      </w:hyperlink>
    </w:p>
    <w:p>
      <w:pPr>
        <w:widowControl/>
        <w:spacing w:after="80"/>
      </w:pPr>
      <w:r>
        <w:rPr>
          <w:rFonts w:ascii="Calibri" w:hAnsi="Calibri"/>
          <w:color w:val="202833"/>
          <w:sz w:val="19"/>
        </w:rPr>
        <w:t xml:space="preserve">[8] Rise Wallet Docs - signing messages - </w:t>
      </w:r>
      <w:hyperlink r:id="rId19">
        <w:r>
          <w:rPr>
            <w:rFonts w:ascii="Calibri" w:hAnsi="Calibri"/>
            <w:color w:val="2E74B5"/>
            <w:u w:val="single"/>
            <w:sz w:val="20"/>
          </w:rPr>
          <w:t>https://docs.risewallet.io/introduction/integrations/integrate-rise-wallet/without-the-wallet-adapter/signing-messages</w:t>
        </w:r>
      </w:hyperlink>
    </w:p>
    <w:p>
      <w:pPr>
        <w:widowControl/>
        <w:spacing w:after="80"/>
      </w:pPr>
      <w:r>
        <w:rPr>
          <w:rFonts w:ascii="Calibri" w:hAnsi="Calibri"/>
          <w:color w:val="202833"/>
          <w:sz w:val="19"/>
        </w:rPr>
        <w:t xml:space="preserve">[9] Rise Wallet - privacy policy - </w:t>
      </w:r>
      <w:hyperlink r:id="rId20">
        <w:r>
          <w:rPr>
            <w:rFonts w:ascii="Calibri" w:hAnsi="Calibri"/>
            <w:color w:val="2E74B5"/>
            <w:u w:val="single"/>
            <w:sz w:val="20"/>
          </w:rPr>
          <w:t>https://risewallet.io/privacy-policy</w:t>
        </w:r>
      </w:hyperlink>
    </w:p>
    <w:p>
      <w:pPr>
        <w:widowControl/>
        <w:spacing w:after="80"/>
      </w:pPr>
      <w:r>
        <w:rPr>
          <w:rFonts w:ascii="Calibri" w:hAnsi="Calibri"/>
          <w:color w:val="202833"/>
          <w:sz w:val="19"/>
        </w:rPr>
        <w:t xml:space="preserve">[10] Apple App Store - Rise, product listing and version history - </w:t>
      </w:r>
      <w:hyperlink r:id="rId21">
        <w:r>
          <w:rPr>
            <w:rFonts w:ascii="Calibri" w:hAnsi="Calibri"/>
            <w:color w:val="2E74B5"/>
            <w:u w:val="single"/>
            <w:sz w:val="20"/>
          </w:rPr>
          <w:t>https://apps.apple.com/us/app/rise-aptos-wallet/id6444621713</w:t>
        </w:r>
      </w:hyperlink>
    </w:p>
    <w:p>
      <w:pPr>
        <w:widowControl/>
        <w:spacing w:after="80"/>
      </w:pPr>
      <w:r>
        <w:rPr>
          <w:rFonts w:ascii="Calibri" w:hAnsi="Calibri"/>
          <w:color w:val="202833"/>
          <w:sz w:val="19"/>
        </w:rPr>
        <w:t xml:space="preserve">[11] Google Play - Rise, product listing and update date - </w:t>
      </w:r>
      <w:hyperlink r:id="rId22">
        <w:r>
          <w:rPr>
            <w:rFonts w:ascii="Calibri" w:hAnsi="Calibri"/>
            <w:color w:val="2E74B5"/>
            <w:u w:val="single"/>
            <w:sz w:val="20"/>
          </w:rPr>
          <w:t>https://play.google.com/store/apps/details?id=com.risewallet.mobile</w:t>
        </w:r>
      </w:hyperlink>
    </w:p>
    <w:p>
      <w:pPr>
        <w:widowControl/>
        <w:spacing w:after="80"/>
      </w:pPr>
      <w:r>
        <w:rPr>
          <w:rFonts w:ascii="Calibri" w:hAnsi="Calibri"/>
          <w:color w:val="202833"/>
          <w:sz w:val="19"/>
        </w:rPr>
        <w:t xml:space="preserve">[12] Mozilla Add-ons - Rise extension permissions and version history - </w:t>
      </w:r>
      <w:hyperlink r:id="rId23">
        <w:r>
          <w:rPr>
            <w:rFonts w:ascii="Calibri" w:hAnsi="Calibri"/>
            <w:color w:val="2E74B5"/>
            <w:u w:val="single"/>
            <w:sz w:val="20"/>
          </w:rPr>
          <w:t>https://addons.mozilla.org/en-US/firefox/addon/rise-wallet/</w:t>
        </w:r>
      </w:hyperlink>
    </w:p>
    <w:p>
      <w:pPr>
        <w:widowControl/>
        <w:spacing w:after="80"/>
      </w:pPr>
      <w:r>
        <w:rPr>
          <w:rFonts w:ascii="Calibri" w:hAnsi="Calibri"/>
          <w:color w:val="202833"/>
          <w:sz w:val="19"/>
        </w:rPr>
        <w:t xml:space="preserve">[13] Aptos Docs - accounts, addresses, sequence numbers, and authentication - </w:t>
      </w:r>
      <w:hyperlink r:id="rId24">
        <w:r>
          <w:rPr>
            <w:rFonts w:ascii="Calibri" w:hAnsi="Calibri"/>
            <w:color w:val="2E74B5"/>
            <w:u w:val="single"/>
            <w:sz w:val="20"/>
          </w:rPr>
          <w:t>https://aptos.dev/network/blockchain/accounts</w:t>
        </w:r>
      </w:hyperlink>
    </w:p>
    <w:p>
      <w:pPr>
        <w:widowControl/>
        <w:spacing w:after="80"/>
      </w:pPr>
      <w:r>
        <w:rPr>
          <w:rFonts w:ascii="Calibri" w:hAnsi="Calibri"/>
          <w:color w:val="202833"/>
          <w:sz w:val="19"/>
        </w:rPr>
        <w:t xml:space="preserve">[14] Aptos Docs - transactions and states - </w:t>
      </w:r>
      <w:hyperlink r:id="rId25">
        <w:r>
          <w:rPr>
            <w:rFonts w:ascii="Calibri" w:hAnsi="Calibri"/>
            <w:color w:val="2E74B5"/>
            <w:u w:val="single"/>
            <w:sz w:val="20"/>
          </w:rPr>
          <w:t>https://aptos.dev/network/blockchain/txns-states</w:t>
        </w:r>
      </w:hyperlink>
    </w:p>
    <w:p>
      <w:pPr>
        <w:widowControl/>
        <w:spacing w:after="80"/>
      </w:pPr>
      <w:r>
        <w:rPr>
          <w:rFonts w:ascii="Calibri" w:hAnsi="Calibri"/>
          <w:color w:val="202833"/>
          <w:sz w:val="19"/>
        </w:rPr>
        <w:t xml:space="preserve">[15] Aptos Docs - transaction payloads and BCS - </w:t>
      </w:r>
      <w:hyperlink r:id="rId26">
        <w:r>
          <w:rPr>
            <w:rFonts w:ascii="Calibri" w:hAnsi="Calibri"/>
            <w:color w:val="2E74B5"/>
            <w:u w:val="single"/>
            <w:sz w:val="20"/>
          </w:rPr>
          <w:t>https://aptos.dev/network/blockchain/transaction-payloads</w:t>
        </w:r>
      </w:hyperlink>
    </w:p>
    <w:p>
      <w:pPr>
        <w:widowControl/>
        <w:spacing w:after="80"/>
      </w:pPr>
      <w:r>
        <w:rPr>
          <w:rFonts w:ascii="Calibri" w:hAnsi="Calibri"/>
          <w:color w:val="202833"/>
          <w:sz w:val="19"/>
        </w:rPr>
        <w:t xml:space="preserve">[16] Aptos Docs - gas and storage fees - </w:t>
      </w:r>
      <w:hyperlink r:id="rId27">
        <w:r>
          <w:rPr>
            <w:rFonts w:ascii="Calibri" w:hAnsi="Calibri"/>
            <w:color w:val="2E74B5"/>
            <w:u w:val="single"/>
            <w:sz w:val="20"/>
          </w:rPr>
          <w:t>https://aptos.dev/network/blockchain/gas-txn-fee</w:t>
        </w:r>
      </w:hyperlink>
    </w:p>
    <w:p>
      <w:pPr>
        <w:widowControl/>
        <w:spacing w:after="80"/>
      </w:pPr>
      <w:r>
        <w:rPr>
          <w:rFonts w:ascii="Calibri" w:hAnsi="Calibri"/>
          <w:color w:val="202833"/>
          <w:sz w:val="19"/>
        </w:rPr>
        <w:t xml:space="preserve">[17] Aptos Docs - transaction simulation - </w:t>
      </w:r>
      <w:hyperlink r:id="rId28">
        <w:r>
          <w:rPr>
            <w:rFonts w:ascii="Calibri" w:hAnsi="Calibri"/>
            <w:color w:val="2E74B5"/>
            <w:u w:val="single"/>
            <w:sz w:val="20"/>
          </w:rPr>
          <w:t>https://aptos.dev/build/sdks/ts-sdk/building-transactions/simulating-transactions</w:t>
        </w:r>
      </w:hyperlink>
    </w:p>
    <w:p>
      <w:pPr>
        <w:widowControl/>
        <w:spacing w:after="80"/>
      </w:pPr>
      <w:r>
        <w:rPr>
          <w:rFonts w:ascii="Calibri" w:hAnsi="Calibri"/>
          <w:color w:val="202833"/>
          <w:sz w:val="19"/>
        </w:rPr>
        <w:t xml:space="preserve">[18] Aptos Docs - Fungible Asset standard and Coin migration - </w:t>
      </w:r>
      <w:hyperlink r:id="rId29">
        <w:r>
          <w:rPr>
            <w:rFonts w:ascii="Calibri" w:hAnsi="Calibri"/>
            <w:color w:val="2E74B5"/>
            <w:u w:val="single"/>
            <w:sz w:val="20"/>
          </w:rPr>
          <w:t>https://aptos.dev/build/smart-contracts/fungible-asset</w:t>
        </w:r>
      </w:hyperlink>
    </w:p>
    <w:p>
      <w:pPr>
        <w:widowControl/>
        <w:spacing w:after="80"/>
      </w:pPr>
      <w:r>
        <w:rPr>
          <w:rFonts w:ascii="Calibri" w:hAnsi="Calibri"/>
          <w:color w:val="202833"/>
          <w:sz w:val="19"/>
        </w:rPr>
        <w:t xml:space="preserve">[19] Aptos Docs - legacy Coin standard - </w:t>
      </w:r>
      <w:hyperlink r:id="rId30">
        <w:r>
          <w:rPr>
            <w:rFonts w:ascii="Calibri" w:hAnsi="Calibri"/>
            <w:color w:val="2E74B5"/>
            <w:u w:val="single"/>
            <w:sz w:val="20"/>
          </w:rPr>
          <w:t>https://aptos.dev/build/smart-contracts/aptos-coin</w:t>
        </w:r>
      </w:hyperlink>
    </w:p>
    <w:p>
      <w:pPr>
        <w:widowControl/>
        <w:spacing w:after="80"/>
      </w:pPr>
      <w:r>
        <w:rPr>
          <w:rFonts w:ascii="Calibri" w:hAnsi="Calibri"/>
          <w:color w:val="202833"/>
          <w:sz w:val="19"/>
        </w:rPr>
        <w:t xml:space="preserve">[20] Aptos Docs - Digital Asset standard - </w:t>
      </w:r>
      <w:hyperlink r:id="rId31">
        <w:r>
          <w:rPr>
            <w:rFonts w:ascii="Calibri" w:hAnsi="Calibri"/>
            <w:color w:val="2E74B5"/>
            <w:u w:val="single"/>
            <w:sz w:val="20"/>
          </w:rPr>
          <w:t>https://aptos.dev/build/smart-contracts/digital-asset</w:t>
        </w:r>
      </w:hyperlink>
    </w:p>
    <w:p>
      <w:pPr>
        <w:widowControl/>
        <w:spacing w:after="80"/>
      </w:pPr>
      <w:r>
        <w:rPr>
          <w:rFonts w:ascii="Calibri" w:hAnsi="Calibri"/>
          <w:color w:val="202833"/>
          <w:sz w:val="19"/>
        </w:rPr>
        <w:t xml:space="preserve">[21] Aptos Docs - legacy Token standard - </w:t>
      </w:r>
      <w:hyperlink r:id="rId32">
        <w:r>
          <w:rPr>
            <w:rFonts w:ascii="Calibri" w:hAnsi="Calibri"/>
            <w:color w:val="2E74B5"/>
            <w:u w:val="single"/>
            <w:sz w:val="20"/>
          </w:rPr>
          <w:t>https://aptos.dev/build/smart-contracts/aptos-token</w:t>
        </w:r>
      </w:hyperlink>
    </w:p>
    <w:p>
      <w:pPr>
        <w:widowControl/>
        <w:spacing w:after="80"/>
      </w:pPr>
      <w:r>
        <w:rPr>
          <w:rFonts w:ascii="Calibri" w:hAnsi="Calibri"/>
          <w:color w:val="202833"/>
          <w:sz w:val="19"/>
        </w:rPr>
        <w:t xml:space="preserve">[22] Aptos Docs - modern wallet adapter and AIP-62 - </w:t>
      </w:r>
      <w:hyperlink r:id="rId33">
        <w:r>
          <w:rPr>
            <w:rFonts w:ascii="Calibri" w:hAnsi="Calibri"/>
            <w:color w:val="2E74B5"/>
            <w:u w:val="single"/>
            <w:sz w:val="20"/>
          </w:rPr>
          <w:t>https://aptos.dev/build/sdks/wallet-adapter</w:t>
        </w:r>
      </w:hyperlink>
    </w:p>
    <w:p>
      <w:pPr>
        <w:widowControl/>
        <w:spacing w:after="80"/>
      </w:pPr>
      <w:r>
        <w:rPr>
          <w:rFonts w:ascii="Calibri" w:hAnsi="Calibri"/>
          <w:color w:val="202833"/>
          <w:sz w:val="19"/>
        </w:rPr>
        <w:t xml:space="preserve">[23] Aptos Docs - Aptos Wallet Standard - </w:t>
      </w:r>
      <w:hyperlink r:id="rId34">
        <w:r>
          <w:rPr>
            <w:rFonts w:ascii="Calibri" w:hAnsi="Calibri"/>
            <w:color w:val="2E74B5"/>
            <w:u w:val="single"/>
            <w:sz w:val="20"/>
          </w:rPr>
          <w:t>https://aptos.dev/build/sdks/wallet-adapter/wallet-standards</w:t>
        </w:r>
      </w:hyperlink>
    </w:p>
    <w:p>
      <w:pPr>
        <w:widowControl/>
        <w:spacing w:after="80"/>
      </w:pPr>
      <w:r>
        <w:rPr>
          <w:rFonts w:ascii="Calibri" w:hAnsi="Calibri"/>
          <w:color w:val="202833"/>
          <w:sz w:val="19"/>
        </w:rPr>
        <w:t xml:space="preserve">[24] Aptos Docs - staking architecture - </w:t>
      </w:r>
      <w:hyperlink r:id="rId35">
        <w:r>
          <w:rPr>
            <w:rFonts w:ascii="Calibri" w:hAnsi="Calibri"/>
            <w:color w:val="2E74B5"/>
            <w:u w:val="single"/>
            <w:sz w:val="20"/>
          </w:rPr>
          <w:t>https://aptos.dev/network/blockchain/staking</w:t>
        </w:r>
      </w:hyperlink>
    </w:p>
    <w:p>
      <w:pPr>
        <w:widowControl/>
        <w:spacing w:after="80"/>
      </w:pPr>
      <w:r>
        <w:rPr>
          <w:rFonts w:ascii="Calibri" w:hAnsi="Calibri"/>
          <w:color w:val="202833"/>
          <w:sz w:val="19"/>
        </w:rPr>
        <w:t xml:space="preserve">[25] Circle - official USDC contract addresses - </w:t>
      </w:r>
      <w:hyperlink r:id="rId36">
        <w:r>
          <w:rPr>
            <w:rFonts w:ascii="Calibri" w:hAnsi="Calibri"/>
            <w:color w:val="2E74B5"/>
            <w:u w:val="single"/>
            <w:sz w:val="20"/>
          </w:rPr>
          <w:t>https://developers.circle.com/stablecoins/usdc-contract-addresses</w:t>
        </w:r>
      </w:hyperlink>
    </w:p>
    <w:p>
      <w:pPr>
        <w:widowControl/>
        <w:spacing w:after="80"/>
      </w:pPr>
      <w:r>
        <w:rPr>
          <w:rFonts w:ascii="Calibri" w:hAnsi="Calibri"/>
          <w:color w:val="202833"/>
          <w:sz w:val="19"/>
        </w:rPr>
        <w:t xml:space="preserve">[26] Circle - native USDC on Aptos and bridged-USDC warning - </w:t>
      </w:r>
      <w:hyperlink r:id="rId37">
        <w:r>
          <w:rPr>
            <w:rFonts w:ascii="Calibri" w:hAnsi="Calibri"/>
            <w:color w:val="2E74B5"/>
            <w:u w:val="single"/>
            <w:sz w:val="20"/>
          </w:rPr>
          <w:t>https://www.circle.com/multi-chain-usdc/aptos</w:t>
        </w:r>
      </w:hyperlink>
    </w:p>
    <w:p>
      <w:pPr>
        <w:widowControl/>
        <w:spacing w:after="80"/>
      </w:pPr>
      <w:r>
        <w:rPr>
          <w:rFonts w:ascii="Calibri" w:hAnsi="Calibri"/>
          <w:color w:val="202833"/>
          <w:sz w:val="19"/>
        </w:rPr>
        <w:t xml:space="preserve">[27] Tether - supported protocols and official Aptos USDt identifiers - </w:t>
      </w:r>
      <w:hyperlink r:id="rId38">
        <w:r>
          <w:rPr>
            <w:rFonts w:ascii="Calibri" w:hAnsi="Calibri"/>
            <w:color w:val="2E74B5"/>
            <w:u w:val="single"/>
            <w:sz w:val="20"/>
          </w:rPr>
          <w:t>https://tether.to/en/supported-protocols/</w:t>
        </w:r>
      </w:hyperlink>
    </w:p>
    <w:p>
      <w:pPr>
        <w:widowControl/>
        <w:spacing w:after="80"/>
      </w:pPr>
      <w:r>
        <w:rPr>
          <w:rFonts w:ascii="Calibri" w:hAnsi="Calibri"/>
          <w:color w:val="202833"/>
          <w:sz w:val="19"/>
        </w:rPr>
        <w:t xml:space="preserve">[28] Aptos Foundation - stablecoins and ecosystem directory - </w:t>
      </w:r>
      <w:hyperlink r:id="rId39">
        <w:r>
          <w:rPr>
            <w:rFonts w:ascii="Calibri" w:hAnsi="Calibri"/>
            <w:color w:val="2E74B5"/>
            <w:u w:val="single"/>
            <w:sz w:val="20"/>
          </w:rPr>
          <w:t>https://aptosfoundation.org/ecosystem/projects/stablecoins</w:t>
        </w:r>
      </w:hyperlink>
    </w:p>
    <w:p>
      <w:pPr>
        <w:widowControl/>
        <w:spacing w:after="80"/>
      </w:pPr>
      <w:r>
        <w:rPr>
          <w:rFonts w:ascii="Calibri" w:hAnsi="Calibri"/>
          <w:color w:val="202833"/>
          <w:sz w:val="19"/>
        </w:rPr>
        <w:t xml:space="preserve">[29] Aptos Foundation - Thala Labs, MOD, and liquid staking - </w:t>
      </w:r>
      <w:hyperlink r:id="rId40">
        <w:r>
          <w:rPr>
            <w:rFonts w:ascii="Calibri" w:hAnsi="Calibri"/>
            <w:color w:val="2E74B5"/>
            <w:u w:val="single"/>
            <w:sz w:val="20"/>
          </w:rPr>
          <w:t>https://aptosfoundation.org/ecosystem/project/thala-labs</w:t>
        </w:r>
      </w:hyperlink>
    </w:p>
    <w:p>
      <w:pPr>
        <w:widowControl/>
        <w:spacing w:after="80"/>
      </w:pPr>
      <w:r>
        <w:rPr>
          <w:rFonts w:ascii="Calibri" w:hAnsi="Calibri"/>
          <w:color w:val="202833"/>
          <w:sz w:val="19"/>
        </w:rPr>
        <w:t xml:space="preserve">[30] Amnis Finance - amAPT and stAPT - </w:t>
      </w:r>
      <w:hyperlink r:id="rId41">
        <w:r>
          <w:rPr>
            <w:rFonts w:ascii="Calibri" w:hAnsi="Calibri"/>
            <w:color w:val="2E74B5"/>
            <w:u w:val="single"/>
            <w:sz w:val="20"/>
          </w:rPr>
          <w:t>https://docs.amnis.finance/amnis-protocol/amapt-and-stapt</w:t>
        </w:r>
      </w:hyperlink>
    </w:p>
    <w:p>
      <w:pPr>
        <w:widowControl/>
        <w:spacing w:after="80"/>
      </w:pPr>
      <w:r>
        <w:rPr>
          <w:rFonts w:ascii="Calibri" w:hAnsi="Calibri"/>
          <w:color w:val="202833"/>
          <w:sz w:val="19"/>
        </w:rPr>
        <w:t xml:space="preserve">[31] Aptos Foundation - USDe on Aptos and LayerZero representation - </w:t>
      </w:r>
      <w:hyperlink r:id="rId42">
        <w:r>
          <w:rPr>
            <w:rFonts w:ascii="Calibri" w:hAnsi="Calibri"/>
            <w:color w:val="2E74B5"/>
            <w:u w:val="single"/>
            <w:sz w:val="20"/>
          </w:rPr>
          <w:t>https://aptosfoundation.org/currents/ethena-usde-arrives-making-aptos-the-stablecoin-powerhouse</w:t>
        </w:r>
      </w:hyperlink>
    </w:p>
    <w:p>
      <w:pPr>
        <w:widowControl/>
        <w:spacing w:after="80"/>
      </w:pPr>
      <w:r>
        <w:rPr>
          <w:rFonts w:ascii="Calibri" w:hAnsi="Calibri"/>
          <w:color w:val="202833"/>
          <w:sz w:val="19"/>
        </w:rPr>
        <w:t xml:space="preserve">[32] Aptos Docs - API layers: fullnode, indexer, and transaction stream - </w:t>
      </w:r>
      <w:hyperlink r:id="rId43">
        <w:r>
          <w:rPr>
            <w:rFonts w:ascii="Calibri" w:hAnsi="Calibri"/>
            <w:color w:val="2E74B5"/>
            <w:u w:val="single"/>
            <w:sz w:val="20"/>
          </w:rPr>
          <w:t>https://aptos.dev/build/apis</w:t>
        </w:r>
      </w:hyperlink>
    </w:p>
    <w:p>
      <w:pPr>
        <w:widowControl/>
        <w:spacing w:after="80"/>
      </w:pPr>
      <w:r>
        <w:rPr>
          <w:rFonts w:ascii="Calibri" w:hAnsi="Calibri"/>
          <w:color w:val="202833"/>
          <w:sz w:val="19"/>
        </w:rPr>
        <w:t xml:space="preserve">[33] Aptos Docs - Aptos Name Service lookup - </w:t>
      </w:r>
      <w:hyperlink r:id="rId44">
        <w:r>
          <w:rPr>
            <w:rFonts w:ascii="Calibri" w:hAnsi="Calibri"/>
            <w:color w:val="2E74B5"/>
            <w:u w:val="single"/>
            <w:sz w:val="20"/>
          </w:rPr>
          <w:t>https://aptos.dev/build/indexer/indexer-api/ans-lookup</w:t>
        </w:r>
      </w:hyperlink>
    </w:p>
    <w:p>
      <w:pPr>
        <w:pStyle w:val="Heading1"/>
        <w:keepNext/>
        <w:widowControl/>
      </w:pPr>
      <w:r>
        <w:t>Methodology, limitations, and disclaimer</w:t>
      </w:r>
    </w:p>
    <w:p>
      <w:pPr>
        <w:widowControl/>
      </w:pPr>
      <w:r>
        <w:rPr>
          <w:rFonts w:ascii="Calibri" w:hAnsi="Calibri"/>
          <w:color w:val="202833"/>
        </w:rPr>
        <w:t>The analysis relies on public official websites, documentation, app-store metadata, and issuer/protocol sources. It did not perform source-code review, binary reproducibility verification, penetration testing, transaction testing with production funds, or a legal audit. Absence of a feature from public sources is described as “not established” rather than proof that no unpublished or store-specific implementation exists.</w:t>
      </w:r>
    </w:p>
    <w:p>
      <w:pPr>
        <w:widowControl/>
      </w:pPr>
      <w:r>
        <w:rPr>
          <w:rFonts w:ascii="Calibri" w:hAnsi="Calibri"/>
          <w:color w:val="202833"/>
        </w:rPr>
        <w:t>This document is educational and technical research, not financial, investment, tax, legal, cybersecurity, or regulatory advice. Cryptocurrencies, stablecoins, bridges, liquid-staking tokens, smart contracts, NFTs, and self-custody systems can fail or lose all value. Users remain responsible for verifying software authenticity, current compatibility, asset identifiers, transaction payloads, recovery procedures, service terms, and applicable laws.</w:t>
      </w:r>
    </w:p>
    <w:sectPr w:rsidR="00FC693F" w:rsidRPr="0006063C" w:rsidSect="00034616">
      <w:headerReference w:type="default" r:id="rId9"/>
      <w:footerReference w:type="default" r:id="rId10"/>
      <w:footerReference w:type="first" r:id="rId11"/>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F6B78"/>
        <w:sz w:val="17"/>
      </w:rPr>
      <w:t xml:space="preserve">Rise Wallet  |  Advanced report  |  Page </w:t>
    </w:r>
    <w:r>
      <w:rPr>
        <w:rFonts w:ascii="Calibri" w:hAnsi="Calibri"/>
        <w:color w:val="5F6B78"/>
        <w:sz w:val="18"/>
      </w:rPr>
      <w:fldChar w:fldCharType="begin"/>
      <w:instrText xml:space="preserve">PAGE</w:instrText>
      <w:fldChar w:fldCharType="end"/>
    </w:r>
    <w:r>
      <w:rPr>
        <w:rFonts w:ascii="Calibri" w:hAnsi="Calibri"/>
        <w:color w:val="5F6B78"/>
        <w:sz w:val="17"/>
      </w:rPr>
      <w:t xml:space="preserve"> of </w:t>
    </w:r>
    <w:r>
      <w:rPr>
        <w:rFonts w:ascii="Calibri" w:hAnsi="Calibri"/>
        <w:color w:val="5F6B78"/>
        <w:sz w:val="18"/>
      </w:rPr>
      <w:fldChar w:fldCharType="begin"/>
      <w:instrText xml:space="preserve">NUMPAGES</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F6B78"/>
        <w:sz w:val="17"/>
      </w:rPr>
      <w:t>Independent analysis based on official public sources  |  30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b/>
        <w:color w:val="5F6B78"/>
        <w:sz w:val="17"/>
      </w:rPr>
      <w:t>RISE WALLET  |  ADVANCED TECHNICAL AND OPERATIONAL REPORT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720"/>
        </w:tabs>
        <w:ind w:left="720" w:hanging="360"/>
        <w:spacing w:after="160" w:line="280" w:lineRule="auto"/>
      </w:pPr>
      <w:rPr>
        <w:rFonts w:ascii="Calibri" w:hAnsi="Calibri"/>
      </w:rPr>
    </w:lvl>
  </w:abstractNum>
  <w:abstractNum w:abstractNumId="10">
    <w:multiLevelType w:val="singleLevel"/>
    <w:lvl w:ilvl="0">
      <w:start w:val="1"/>
      <w:numFmt w:val="decimal"/>
      <w:lvlText w:val="%1."/>
      <w:suff w:val="tab"/>
      <w:pPr>
        <w:tabs>
          <w:tab w:val="num" w:pos="720"/>
        </w:tabs>
        <w:ind w:left="720" w:hanging="360"/>
        <w:spacing w:after="160" w:line="280" w:lineRule="auto"/>
      </w:pPr>
    </w:lvl>
  </w:abstractNum>
  <w:num w:numId="10">
    <w:abstractNumId w:val="9"/>
  </w:num>
  <w:num w:numId="11">
    <w:abstractNumId w:val="10"/>
  </w:num>
  <w:num w:numId="12">
    <w:abstractNumId w:val="10"/>
    <w:lvlOverride w:ilvl="0">
      <w:startOverride w:val="1"/>
    </w:lvlOverride>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2028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yperlink" Target="https://risewallet.io/" TargetMode="External"/><Relationship Id="rId13" Type="http://schemas.openxmlformats.org/officeDocument/2006/relationships/hyperlink" Target="https://docs.risewallet.io/" TargetMode="External"/><Relationship Id="rId14" Type="http://schemas.openxmlformats.org/officeDocument/2006/relationships/hyperlink" Target="https://docs.risewallet.io/introduction/introduction/self-custody" TargetMode="External"/><Relationship Id="rId15" Type="http://schemas.openxmlformats.org/officeDocument/2006/relationships/hyperlink" Target="https://docs.risewallet.io/introduction/introduction/best-practices" TargetMode="External"/><Relationship Id="rId16" Type="http://schemas.openxmlformats.org/officeDocument/2006/relationships/hyperlink" Target="https://docs.risewallet.io/introduction/integrations/integrate-rise-wallet/with-the-wallet-adapter" TargetMode="External"/><Relationship Id="rId17" Type="http://schemas.openxmlformats.org/officeDocument/2006/relationships/hyperlink" Target="https://docs.risewallet.io/introduction/integrations/integrate-rise-wallet/without-the-wallet-adapter/establishing-connection" TargetMode="External"/><Relationship Id="rId18" Type="http://schemas.openxmlformats.org/officeDocument/2006/relationships/hyperlink" Target="https://docs.risewallet.io/introduction/integrations/integrate-rise-wallet/without-the-wallet-adapter/signing-transactions" TargetMode="External"/><Relationship Id="rId19" Type="http://schemas.openxmlformats.org/officeDocument/2006/relationships/hyperlink" Target="https://docs.risewallet.io/introduction/integrations/integrate-rise-wallet/without-the-wallet-adapter/signing-messages" TargetMode="External"/><Relationship Id="rId20" Type="http://schemas.openxmlformats.org/officeDocument/2006/relationships/hyperlink" Target="https://risewallet.io/privacy-policy" TargetMode="External"/><Relationship Id="rId21" Type="http://schemas.openxmlformats.org/officeDocument/2006/relationships/hyperlink" Target="https://apps.apple.com/us/app/rise-aptos-wallet/id6444621713" TargetMode="External"/><Relationship Id="rId22" Type="http://schemas.openxmlformats.org/officeDocument/2006/relationships/hyperlink" Target="https://play.google.com/store/apps/details?id=com.risewallet.mobile" TargetMode="External"/><Relationship Id="rId23" Type="http://schemas.openxmlformats.org/officeDocument/2006/relationships/hyperlink" Target="https://addons.mozilla.org/en-US/firefox/addon/rise-wallet/" TargetMode="External"/><Relationship Id="rId24" Type="http://schemas.openxmlformats.org/officeDocument/2006/relationships/hyperlink" Target="https://aptos.dev/network/blockchain/accounts" TargetMode="External"/><Relationship Id="rId25" Type="http://schemas.openxmlformats.org/officeDocument/2006/relationships/hyperlink" Target="https://aptos.dev/network/blockchain/txns-states" TargetMode="External"/><Relationship Id="rId26" Type="http://schemas.openxmlformats.org/officeDocument/2006/relationships/hyperlink" Target="https://aptos.dev/network/blockchain/transaction-payloads" TargetMode="External"/><Relationship Id="rId27" Type="http://schemas.openxmlformats.org/officeDocument/2006/relationships/hyperlink" Target="https://aptos.dev/network/blockchain/gas-txn-fee" TargetMode="External"/><Relationship Id="rId28" Type="http://schemas.openxmlformats.org/officeDocument/2006/relationships/hyperlink" Target="https://aptos.dev/build/sdks/ts-sdk/building-transactions/simulating-transactions" TargetMode="External"/><Relationship Id="rId29" Type="http://schemas.openxmlformats.org/officeDocument/2006/relationships/hyperlink" Target="https://aptos.dev/build/smart-contracts/fungible-asset" TargetMode="External"/><Relationship Id="rId30" Type="http://schemas.openxmlformats.org/officeDocument/2006/relationships/hyperlink" Target="https://aptos.dev/build/smart-contracts/aptos-coin" TargetMode="External"/><Relationship Id="rId31" Type="http://schemas.openxmlformats.org/officeDocument/2006/relationships/hyperlink" Target="https://aptos.dev/build/smart-contracts/digital-asset" TargetMode="External"/><Relationship Id="rId32" Type="http://schemas.openxmlformats.org/officeDocument/2006/relationships/hyperlink" Target="https://aptos.dev/build/smart-contracts/aptos-token" TargetMode="External"/><Relationship Id="rId33" Type="http://schemas.openxmlformats.org/officeDocument/2006/relationships/hyperlink" Target="https://aptos.dev/build/sdks/wallet-adapter" TargetMode="External"/><Relationship Id="rId34" Type="http://schemas.openxmlformats.org/officeDocument/2006/relationships/hyperlink" Target="https://aptos.dev/build/sdks/wallet-adapter/wallet-standards" TargetMode="External"/><Relationship Id="rId35" Type="http://schemas.openxmlformats.org/officeDocument/2006/relationships/hyperlink" Target="https://aptos.dev/network/blockchain/staking" TargetMode="External"/><Relationship Id="rId36" Type="http://schemas.openxmlformats.org/officeDocument/2006/relationships/hyperlink" Target="https://developers.circle.com/stablecoins/usdc-contract-addresses" TargetMode="External"/><Relationship Id="rId37" Type="http://schemas.openxmlformats.org/officeDocument/2006/relationships/hyperlink" Target="https://www.circle.com/multi-chain-usdc/aptos" TargetMode="External"/><Relationship Id="rId38" Type="http://schemas.openxmlformats.org/officeDocument/2006/relationships/hyperlink" Target="https://tether.to/en/supported-protocols/" TargetMode="External"/><Relationship Id="rId39" Type="http://schemas.openxmlformats.org/officeDocument/2006/relationships/hyperlink" Target="https://aptosfoundation.org/ecosystem/projects/stablecoins" TargetMode="External"/><Relationship Id="rId40" Type="http://schemas.openxmlformats.org/officeDocument/2006/relationships/hyperlink" Target="https://aptosfoundation.org/ecosystem/project/thala-labs" TargetMode="External"/><Relationship Id="rId41" Type="http://schemas.openxmlformats.org/officeDocument/2006/relationships/hyperlink" Target="https://docs.amnis.finance/amnis-protocol/amapt-and-stapt" TargetMode="External"/><Relationship Id="rId42" Type="http://schemas.openxmlformats.org/officeDocument/2006/relationships/hyperlink" Target="https://aptosfoundation.org/currents/ethena-usde-arrives-making-aptos-the-stablecoin-powerhouse" TargetMode="External"/><Relationship Id="rId43" Type="http://schemas.openxmlformats.org/officeDocument/2006/relationships/hyperlink" Target="https://aptos.dev/build/apis" TargetMode="External"/><Relationship Id="rId44" Type="http://schemas.openxmlformats.org/officeDocument/2006/relationships/hyperlink" Target="https://aptos.dev/build/indexer/indexer-api/ans-look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Technical and Operational Report on Rise Wallet</dc:title>
  <dc:subject>Rise Wallet architecture, Aptos asset compatibility, transactions, security, privacy, product freshness, and operational guidance</dc:subject>
  <dc:creator>OpenAI</dc:creator>
  <cp:keywords>Rise Wallet, Aptos, APT, USDC, USDT, fungible assets, digital assets, wallet, security</cp:keywords>
  <dc:description>generated by python-docx</dc:description>
  <cp:lastModifiedBy/>
  <cp:revision>1</cp:revision>
  <dcterms:created xsi:type="dcterms:W3CDTF">2013-12-23T23:15:00Z</dcterms:created>
  <dcterms:modified xsi:type="dcterms:W3CDTF">2013-12-23T23:15:00Z</dcterms:modified>
  <cp:category/>
</cp:coreProperties>
</file>